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EC" w:rsidRPr="00C82BDB" w:rsidRDefault="00584C87" w:rsidP="00D53252">
      <w:pPr>
        <w:spacing w:before="120" w:after="480" w:line="460" w:lineRule="exact"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证券代码：</w:t>
      </w:r>
      <w:r w:rsidRPr="00C82BDB">
        <w:rPr>
          <w:rFonts w:ascii="Times New Roman" w:eastAsia="宋体" w:hAnsi="Times New Roman" w:cs="Times New Roman"/>
          <w:sz w:val="18"/>
          <w:szCs w:val="18"/>
        </w:rPr>
        <w:t xml:space="preserve">000488  </w:t>
      </w:r>
      <w:r w:rsidR="0029360D" w:rsidRPr="00C82BDB">
        <w:rPr>
          <w:rFonts w:ascii="Times New Roman" w:eastAsia="宋体" w:hAnsi="Times New Roman" w:cs="Times New Roman"/>
          <w:sz w:val="18"/>
          <w:szCs w:val="18"/>
        </w:rPr>
        <w:t xml:space="preserve"> 200488            </w:t>
      </w:r>
      <w:r w:rsidRPr="00C82BDB">
        <w:rPr>
          <w:rFonts w:ascii="Times New Roman" w:eastAsia="宋体" w:hAnsi="Times New Roman" w:cs="Times New Roman"/>
          <w:sz w:val="18"/>
          <w:szCs w:val="18"/>
        </w:rPr>
        <w:t xml:space="preserve">    </w:t>
      </w:r>
      <w:r w:rsidR="0029360D" w:rsidRPr="00C82BDB">
        <w:rPr>
          <w:rFonts w:ascii="Times New Roman" w:eastAsia="宋体" w:hAnsi="Times New Roman" w:cs="Times New Roman"/>
          <w:sz w:val="18"/>
          <w:szCs w:val="18"/>
        </w:rPr>
        <w:t xml:space="preserve">            </w:t>
      </w:r>
      <w:r w:rsidRPr="00C82BDB">
        <w:rPr>
          <w:rFonts w:ascii="Times New Roman" w:eastAsia="宋体" w:hAnsi="Times New Roman" w:cs="Times New Roman"/>
          <w:sz w:val="18"/>
          <w:szCs w:val="18"/>
        </w:rPr>
        <w:t xml:space="preserve">  </w:t>
      </w:r>
      <w:r w:rsidR="0029360D" w:rsidRPr="00C82BDB">
        <w:rPr>
          <w:rFonts w:ascii="Times New Roman" w:eastAsia="宋体" w:hAnsi="Times New Roman" w:cs="Times New Roman"/>
          <w:sz w:val="18"/>
          <w:szCs w:val="18"/>
        </w:rPr>
        <w:t xml:space="preserve">        </w:t>
      </w:r>
      <w:r w:rsidRPr="00C82BDB">
        <w:rPr>
          <w:rFonts w:ascii="Times New Roman" w:eastAsia="宋体" w:hAnsi="Times New Roman" w:cs="Times New Roman"/>
          <w:sz w:val="18"/>
          <w:szCs w:val="18"/>
        </w:rPr>
        <w:t xml:space="preserve">   </w:t>
      </w:r>
      <w:r w:rsidRPr="00C82BDB">
        <w:rPr>
          <w:rFonts w:ascii="Times New Roman" w:eastAsia="宋体" w:hAnsi="Times New Roman" w:cs="Times New Roman"/>
          <w:sz w:val="18"/>
          <w:szCs w:val="18"/>
        </w:rPr>
        <w:t>证券简称：晨鸣纸业</w:t>
      </w:r>
      <w:r w:rsidRPr="00C82BDB">
        <w:rPr>
          <w:rFonts w:ascii="Times New Roman" w:eastAsia="宋体" w:hAnsi="Times New Roman" w:cs="Times New Roman"/>
          <w:sz w:val="18"/>
          <w:szCs w:val="18"/>
        </w:rPr>
        <w:t xml:space="preserve">    </w:t>
      </w:r>
      <w:r w:rsidR="0029360D" w:rsidRPr="00C82BDB">
        <w:rPr>
          <w:rFonts w:ascii="Times New Roman" w:eastAsia="宋体" w:hAnsi="Times New Roman" w:cs="Times New Roman"/>
          <w:sz w:val="18"/>
          <w:szCs w:val="18"/>
        </w:rPr>
        <w:t>晨鸣</w:t>
      </w:r>
      <w:r w:rsidR="0029360D" w:rsidRPr="00C82BDB">
        <w:rPr>
          <w:rFonts w:ascii="Times New Roman" w:eastAsia="宋体" w:hAnsi="Times New Roman" w:cs="Times New Roman"/>
          <w:sz w:val="18"/>
          <w:szCs w:val="18"/>
        </w:rPr>
        <w:t>B</w:t>
      </w:r>
      <w:r w:rsidRPr="00C82BDB">
        <w:rPr>
          <w:rFonts w:ascii="Times New Roman" w:eastAsia="宋体" w:hAnsi="Times New Roman" w:cs="Times New Roman"/>
          <w:sz w:val="18"/>
          <w:szCs w:val="18"/>
        </w:rPr>
        <w:t xml:space="preserve">    </w:t>
      </w:r>
      <w:r w:rsidR="0029360D" w:rsidRPr="00C82BDB">
        <w:rPr>
          <w:rFonts w:ascii="Times New Roman" w:eastAsia="宋体" w:hAnsi="Times New Roman" w:cs="Times New Roman"/>
          <w:sz w:val="18"/>
          <w:szCs w:val="18"/>
        </w:rPr>
        <w:t xml:space="preserve">                               </w:t>
      </w:r>
      <w:r w:rsidRPr="00C82BDB">
        <w:rPr>
          <w:rFonts w:ascii="Times New Roman" w:eastAsia="宋体" w:hAnsi="Times New Roman" w:cs="Times New Roman"/>
          <w:sz w:val="18"/>
          <w:szCs w:val="18"/>
        </w:rPr>
        <w:t>公告编号：</w:t>
      </w:r>
      <w:r w:rsidRPr="00C82BDB">
        <w:rPr>
          <w:rFonts w:ascii="Times New Roman" w:eastAsia="宋体" w:hAnsi="Times New Roman" w:cs="Times New Roman"/>
          <w:sz w:val="18"/>
          <w:szCs w:val="18"/>
        </w:rPr>
        <w:t>2024-</w:t>
      </w:r>
      <w:r w:rsidR="00727F26" w:rsidRPr="00C82BDB">
        <w:rPr>
          <w:rFonts w:ascii="Times New Roman" w:eastAsia="宋体" w:hAnsi="Times New Roman" w:cs="Times New Roman" w:hint="eastAsia"/>
          <w:sz w:val="18"/>
          <w:szCs w:val="18"/>
        </w:rPr>
        <w:t>044</w:t>
      </w:r>
    </w:p>
    <w:p w:rsidR="0029360D" w:rsidRPr="00C82BDB" w:rsidRDefault="00584C87" w:rsidP="00D53252">
      <w:pPr>
        <w:spacing w:after="240" w:line="40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C82BDB">
        <w:rPr>
          <w:rFonts w:ascii="Times New Roman" w:eastAsia="宋体" w:hAnsi="Times New Roman" w:cs="Times New Roman"/>
          <w:b/>
          <w:bCs/>
          <w:sz w:val="36"/>
          <w:szCs w:val="36"/>
        </w:rPr>
        <w:t>山东晨鸣纸业集团股份有限公司</w:t>
      </w:r>
    </w:p>
    <w:p w:rsidR="00776D99" w:rsidRPr="00C82BDB" w:rsidRDefault="00584C87" w:rsidP="00D53252">
      <w:pPr>
        <w:spacing w:after="240" w:line="40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C82BDB">
        <w:rPr>
          <w:rFonts w:ascii="Times New Roman" w:eastAsia="宋体" w:hAnsi="Times New Roman" w:cs="Times New Roman"/>
          <w:b/>
          <w:bCs/>
          <w:sz w:val="36"/>
          <w:szCs w:val="36"/>
        </w:rPr>
        <w:t>2024</w:t>
      </w:r>
      <w:r w:rsidRPr="00C82BDB">
        <w:rPr>
          <w:rFonts w:ascii="Times New Roman" w:eastAsia="宋体" w:hAnsi="Times New Roman" w:cs="Times New Roman"/>
          <w:b/>
          <w:bCs/>
          <w:sz w:val="36"/>
          <w:szCs w:val="36"/>
        </w:rPr>
        <w:t>年半年度报告摘要</w:t>
      </w:r>
    </w:p>
    <w:p w:rsidR="00776D99" w:rsidRPr="00C82BDB" w:rsidRDefault="00584C87" w:rsidP="00D53252">
      <w:pPr>
        <w:rPr>
          <w:rFonts w:ascii="Times New Roman" w:hAnsi="Times New Roman" w:cs="Times New Roman"/>
        </w:rPr>
      </w:pPr>
      <w:bookmarkStart w:id="0" w:name="_Toc988889"/>
      <w:r w:rsidRPr="00C82BDB">
        <w:rPr>
          <w:rFonts w:ascii="Times New Roman" w:eastAsia="宋体" w:hAnsi="Times New Roman" w:cs="Times New Roman"/>
          <w:b/>
          <w:bCs/>
          <w:sz w:val="24"/>
          <w:szCs w:val="24"/>
        </w:rPr>
        <w:t>一、重要提示</w:t>
      </w:r>
      <w:bookmarkEnd w:id="0"/>
    </w:p>
    <w:p w:rsidR="00776D99" w:rsidRPr="00C82BDB" w:rsidRDefault="00584C87" w:rsidP="00D53252">
      <w:pPr>
        <w:spacing w:before="40" w:after="40" w:line="240" w:lineRule="exact"/>
        <w:rPr>
          <w:rFonts w:asciiTheme="minorEastAsia" w:hAnsiTheme="minorEastAsia" w:cs="Times New Roman"/>
          <w:sz w:val="18"/>
          <w:szCs w:val="18"/>
        </w:rPr>
      </w:pPr>
      <w:proofErr w:type="gramStart"/>
      <w:r w:rsidRPr="00C82BDB">
        <w:rPr>
          <w:rFonts w:asciiTheme="minorEastAsia" w:hAnsiTheme="minorEastAsia" w:cs="Times New Roman"/>
          <w:sz w:val="18"/>
          <w:szCs w:val="18"/>
        </w:rPr>
        <w:t>本半年度</w:t>
      </w:r>
      <w:proofErr w:type="gramEnd"/>
      <w:r w:rsidRPr="00C82BDB">
        <w:rPr>
          <w:rFonts w:asciiTheme="minorEastAsia" w:hAnsiTheme="minorEastAsia" w:cs="Times New Roman"/>
          <w:sz w:val="18"/>
          <w:szCs w:val="18"/>
        </w:rPr>
        <w:t>报告摘要来自半年度报告全文，为全面了解本公司的经营成果、财务状况及未来发展规划，投资者应当到证监会指定媒体仔细阅读半年度报告全文。</w:t>
      </w:r>
    </w:p>
    <w:p w:rsidR="00776D99" w:rsidRPr="00C82BDB" w:rsidRDefault="00584C87" w:rsidP="00D53252">
      <w:pPr>
        <w:spacing w:before="40" w:after="40"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>所有董事均</w:t>
      </w:r>
      <w:proofErr w:type="gramStart"/>
      <w:r w:rsidRPr="00C82BDB">
        <w:rPr>
          <w:rFonts w:asciiTheme="minorEastAsia" w:hAnsiTheme="minorEastAsia" w:cs="Times New Roman"/>
          <w:sz w:val="18"/>
          <w:szCs w:val="18"/>
        </w:rPr>
        <w:t>已出席</w:t>
      </w:r>
      <w:proofErr w:type="gramEnd"/>
      <w:r w:rsidRPr="00C82BDB">
        <w:rPr>
          <w:rFonts w:asciiTheme="minorEastAsia" w:hAnsiTheme="minorEastAsia" w:cs="Times New Roman"/>
          <w:sz w:val="18"/>
          <w:szCs w:val="18"/>
        </w:rPr>
        <w:t>了审议本报告的董事会会议。</w:t>
      </w:r>
    </w:p>
    <w:p w:rsidR="00776D99" w:rsidRPr="00C82BDB" w:rsidRDefault="00584C87">
      <w:pPr>
        <w:spacing w:before="100" w:after="100"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>非标准审计意见提示</w:t>
      </w:r>
    </w:p>
    <w:p w:rsidR="00776D99" w:rsidRPr="00C82BDB" w:rsidRDefault="00584C87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spacing w:before="100" w:after="40"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>董事会审议的报告期利润分配预案或公积金转增股本预案</w:t>
      </w:r>
    </w:p>
    <w:p w:rsidR="00776D99" w:rsidRPr="00C82BDB" w:rsidRDefault="00584C87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spacing w:before="40" w:after="40"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>公司计划</w:t>
      </w:r>
      <w:proofErr w:type="gramStart"/>
      <w:r w:rsidRPr="00C82BDB">
        <w:rPr>
          <w:rFonts w:asciiTheme="minorEastAsia" w:hAnsiTheme="minorEastAsia" w:cs="Times New Roman"/>
          <w:sz w:val="18"/>
          <w:szCs w:val="18"/>
        </w:rPr>
        <w:t>不</w:t>
      </w:r>
      <w:proofErr w:type="gramEnd"/>
      <w:r w:rsidRPr="00C82BDB">
        <w:rPr>
          <w:rFonts w:asciiTheme="minorEastAsia" w:hAnsiTheme="minorEastAsia" w:cs="Times New Roman"/>
          <w:sz w:val="18"/>
          <w:szCs w:val="18"/>
        </w:rPr>
        <w:t>派发现金红利，不送红股，不以公积金转增股本。</w:t>
      </w:r>
    </w:p>
    <w:p w:rsidR="00776D99" w:rsidRPr="00C82BDB" w:rsidRDefault="00584C87">
      <w:pPr>
        <w:spacing w:before="100" w:after="100"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>董事会决议通过的本报告期优先股利润分配预案</w:t>
      </w:r>
    </w:p>
    <w:p w:rsidR="00776D99" w:rsidRPr="00C82BDB" w:rsidRDefault="00584C87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pStyle w:val="2"/>
        <w:spacing w:before="300" w:after="300" w:line="32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" w:name="_Toc988890"/>
      <w:r w:rsidRPr="00C82BDB">
        <w:rPr>
          <w:rFonts w:ascii="Times New Roman" w:eastAsia="宋体" w:hAnsi="Times New Roman" w:cs="Times New Roman"/>
          <w:b/>
          <w:bCs/>
          <w:sz w:val="24"/>
          <w:szCs w:val="24"/>
        </w:rPr>
        <w:t>二、公司基本情况</w:t>
      </w:r>
      <w:bookmarkEnd w:id="1"/>
    </w:p>
    <w:p w:rsidR="00776D99" w:rsidRPr="00C82BDB" w:rsidRDefault="00584C87">
      <w:pPr>
        <w:pStyle w:val="3"/>
        <w:spacing w:line="280" w:lineRule="exact"/>
        <w:jc w:val="left"/>
        <w:rPr>
          <w:rFonts w:ascii="Times New Roman" w:hAnsi="Times New Roman" w:cs="Times New Roman"/>
          <w:b/>
          <w:bCs/>
        </w:rPr>
      </w:pPr>
      <w:bookmarkStart w:id="2" w:name="_Toc988891"/>
      <w:r w:rsidRPr="00C82BDB">
        <w:rPr>
          <w:rFonts w:ascii="Times New Roman" w:hAnsi="Times New Roman" w:cs="Times New Roman"/>
          <w:b/>
          <w:bCs/>
        </w:rPr>
        <w:t>1</w:t>
      </w:r>
      <w:r w:rsidRPr="00C82BDB">
        <w:rPr>
          <w:rFonts w:ascii="Times New Roman" w:hAnsi="Times New Roman" w:cs="Times New Roman"/>
          <w:b/>
          <w:bCs/>
        </w:rPr>
        <w:t>、公司简介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0"/>
        <w:gridCol w:w="2528"/>
        <w:gridCol w:w="733"/>
        <w:gridCol w:w="898"/>
        <w:gridCol w:w="1371"/>
        <w:gridCol w:w="306"/>
        <w:gridCol w:w="1987"/>
      </w:tblGrid>
      <w:tr w:rsidR="00C82BDB" w:rsidRPr="00C82BDB" w:rsidTr="00D71C59">
        <w:trPr>
          <w:trHeight w:val="284"/>
        </w:trPr>
        <w:tc>
          <w:tcPr>
            <w:tcW w:w="965" w:type="pct"/>
            <w:vMerge w:val="restart"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Toc988892"/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股票简称</w:t>
            </w:r>
          </w:p>
        </w:tc>
        <w:tc>
          <w:tcPr>
            <w:tcW w:w="1682" w:type="pct"/>
            <w:gridSpan w:val="2"/>
            <w:vAlign w:val="center"/>
          </w:tcPr>
          <w:p w:rsidR="0029360D" w:rsidRPr="00C82BDB" w:rsidRDefault="0029360D" w:rsidP="004E476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晨鸣纸业</w:t>
            </w:r>
          </w:p>
        </w:tc>
        <w:tc>
          <w:tcPr>
            <w:tcW w:w="1170" w:type="pct"/>
            <w:gridSpan w:val="2"/>
            <w:vMerge w:val="restart"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股票代码</w:t>
            </w:r>
          </w:p>
        </w:tc>
        <w:tc>
          <w:tcPr>
            <w:tcW w:w="1183" w:type="pct"/>
            <w:gridSpan w:val="2"/>
            <w:vAlign w:val="center"/>
          </w:tcPr>
          <w:p w:rsidR="0029360D" w:rsidRPr="00C82BDB" w:rsidRDefault="0029360D" w:rsidP="004E476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000488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vMerge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pct"/>
            <w:gridSpan w:val="2"/>
            <w:vAlign w:val="center"/>
          </w:tcPr>
          <w:p w:rsidR="0029360D" w:rsidRPr="00C82BDB" w:rsidRDefault="0029360D" w:rsidP="004E476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晨鸣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170" w:type="pct"/>
            <w:gridSpan w:val="2"/>
            <w:vMerge/>
            <w:shd w:val="clear" w:color="auto" w:fill="D3D3D3"/>
          </w:tcPr>
          <w:p w:rsidR="0029360D" w:rsidRPr="00C82BDB" w:rsidRDefault="0029360D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vAlign w:val="center"/>
          </w:tcPr>
          <w:p w:rsidR="0029360D" w:rsidRPr="00C82BDB" w:rsidRDefault="0029360D" w:rsidP="004E476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200488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股票上市证券交易所</w:t>
            </w:r>
          </w:p>
        </w:tc>
        <w:tc>
          <w:tcPr>
            <w:tcW w:w="4035" w:type="pct"/>
            <w:gridSpan w:val="6"/>
            <w:vAlign w:val="center"/>
          </w:tcPr>
          <w:p w:rsidR="0029360D" w:rsidRPr="00C82BDB" w:rsidRDefault="0029360D" w:rsidP="0029360D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深圳证券交易所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股票简称</w:t>
            </w:r>
          </w:p>
        </w:tc>
        <w:tc>
          <w:tcPr>
            <w:tcW w:w="1682" w:type="pct"/>
            <w:gridSpan w:val="2"/>
            <w:vAlign w:val="center"/>
          </w:tcPr>
          <w:p w:rsidR="0029360D" w:rsidRPr="00C82BDB" w:rsidRDefault="0029360D" w:rsidP="004E476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晨鸣纸业</w:t>
            </w:r>
          </w:p>
        </w:tc>
        <w:tc>
          <w:tcPr>
            <w:tcW w:w="1170" w:type="pct"/>
            <w:gridSpan w:val="2"/>
            <w:shd w:val="clear" w:color="auto" w:fill="D9D9D9" w:themeFill="background1" w:themeFillShade="D9"/>
          </w:tcPr>
          <w:p w:rsidR="0029360D" w:rsidRPr="00C82BDB" w:rsidRDefault="0029360D" w:rsidP="004E476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股票代码</w:t>
            </w:r>
          </w:p>
        </w:tc>
        <w:tc>
          <w:tcPr>
            <w:tcW w:w="1183" w:type="pct"/>
            <w:gridSpan w:val="2"/>
            <w:vAlign w:val="center"/>
          </w:tcPr>
          <w:p w:rsidR="0029360D" w:rsidRPr="00C82BDB" w:rsidRDefault="0029360D" w:rsidP="004E476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01812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股票上市证券交易所</w:t>
            </w:r>
          </w:p>
        </w:tc>
        <w:tc>
          <w:tcPr>
            <w:tcW w:w="4035" w:type="pct"/>
            <w:gridSpan w:val="6"/>
            <w:vAlign w:val="center"/>
          </w:tcPr>
          <w:p w:rsidR="0029360D" w:rsidRPr="00C82BDB" w:rsidRDefault="0029360D" w:rsidP="0029360D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香港联合交易所有限公司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29360D" w:rsidRPr="00C82BDB" w:rsidRDefault="0029360D" w:rsidP="00D71C59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变更前的股票简称</w:t>
            </w:r>
          </w:p>
        </w:tc>
        <w:tc>
          <w:tcPr>
            <w:tcW w:w="4035" w:type="pct"/>
            <w:gridSpan w:val="6"/>
            <w:vAlign w:val="center"/>
          </w:tcPr>
          <w:p w:rsidR="0029360D" w:rsidRPr="00C82BDB" w:rsidRDefault="0029360D" w:rsidP="0029360D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无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联系人和联系方式</w:t>
            </w:r>
          </w:p>
        </w:tc>
        <w:tc>
          <w:tcPr>
            <w:tcW w:w="1304" w:type="pct"/>
            <w:shd w:val="clear" w:color="auto" w:fill="D9D9D9" w:themeFill="background1" w:themeFillShade="D9"/>
            <w:vAlign w:val="center"/>
          </w:tcPr>
          <w:p w:rsidR="0029360D" w:rsidRPr="00C82BDB" w:rsidRDefault="0029360D" w:rsidP="004E476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董事会秘书</w:t>
            </w:r>
          </w:p>
        </w:tc>
        <w:tc>
          <w:tcPr>
            <w:tcW w:w="1706" w:type="pct"/>
            <w:gridSpan w:val="4"/>
            <w:shd w:val="clear" w:color="auto" w:fill="D9D9D9" w:themeFill="background1" w:themeFillShade="D9"/>
            <w:vAlign w:val="center"/>
          </w:tcPr>
          <w:p w:rsidR="0029360D" w:rsidRPr="00C82BDB" w:rsidRDefault="0029360D" w:rsidP="0029360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证券事务代表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29360D" w:rsidRPr="00C82BDB" w:rsidRDefault="0029360D" w:rsidP="004E476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香港公司秘书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29360D" w:rsidRPr="00C82BDB" w:rsidRDefault="0029360D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GoBack" w:colFirst="2" w:colLast="3"/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304" w:type="pct"/>
            <w:vAlign w:val="center"/>
          </w:tcPr>
          <w:p w:rsidR="0029360D" w:rsidRPr="00C82BDB" w:rsidRDefault="0029360D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袁西坤</w:t>
            </w:r>
          </w:p>
        </w:tc>
        <w:tc>
          <w:tcPr>
            <w:tcW w:w="841" w:type="pct"/>
            <w:gridSpan w:val="2"/>
            <w:vAlign w:val="center"/>
          </w:tcPr>
          <w:p w:rsidR="0029360D" w:rsidRPr="00C82BDB" w:rsidRDefault="0029360D" w:rsidP="00FA0B1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张传勇</w:t>
            </w:r>
          </w:p>
        </w:tc>
        <w:tc>
          <w:tcPr>
            <w:tcW w:w="865" w:type="pct"/>
            <w:gridSpan w:val="2"/>
            <w:vAlign w:val="center"/>
          </w:tcPr>
          <w:p w:rsidR="0029360D" w:rsidRPr="00C82BDB" w:rsidRDefault="0029360D" w:rsidP="00FA0B1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陈琳</w:t>
            </w:r>
          </w:p>
        </w:tc>
        <w:tc>
          <w:tcPr>
            <w:tcW w:w="1025" w:type="pct"/>
            <w:vAlign w:val="center"/>
          </w:tcPr>
          <w:p w:rsidR="0029360D" w:rsidRPr="00C82BDB" w:rsidRDefault="0029360D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朱瀚</w:t>
            </w:r>
            <w:proofErr w:type="gramStart"/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樑</w:t>
            </w:r>
            <w:proofErr w:type="gramEnd"/>
          </w:p>
        </w:tc>
      </w:tr>
      <w:bookmarkEnd w:id="4"/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D71C59" w:rsidRPr="00C82BDB" w:rsidRDefault="00D71C59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电子信箱</w:t>
            </w:r>
          </w:p>
        </w:tc>
        <w:tc>
          <w:tcPr>
            <w:tcW w:w="1304" w:type="pct"/>
            <w:vAlign w:val="center"/>
          </w:tcPr>
          <w:p w:rsidR="00D71C59" w:rsidRPr="00C82BDB" w:rsidRDefault="00D71C59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chenmmingpaper@163.com</w:t>
            </w:r>
          </w:p>
        </w:tc>
        <w:tc>
          <w:tcPr>
            <w:tcW w:w="841" w:type="pct"/>
            <w:gridSpan w:val="2"/>
            <w:vAlign w:val="center"/>
          </w:tcPr>
          <w:p w:rsidR="00D71C59" w:rsidRPr="00C82BDB" w:rsidRDefault="00D71C59" w:rsidP="004E47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friend537@163.com</w:t>
            </w:r>
          </w:p>
        </w:tc>
        <w:tc>
          <w:tcPr>
            <w:tcW w:w="865" w:type="pct"/>
            <w:gridSpan w:val="2"/>
            <w:vAlign w:val="center"/>
          </w:tcPr>
          <w:p w:rsidR="00D71C59" w:rsidRPr="00C82BDB" w:rsidRDefault="00D71C59" w:rsidP="004E47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ZQCL0536@163.com</w:t>
            </w:r>
          </w:p>
        </w:tc>
        <w:tc>
          <w:tcPr>
            <w:tcW w:w="1025" w:type="pct"/>
            <w:vAlign w:val="center"/>
          </w:tcPr>
          <w:p w:rsidR="00D71C59" w:rsidRPr="00C82BDB" w:rsidRDefault="00D71C59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liamchu@li-partners.com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064EAA" w:rsidRPr="00C82BDB" w:rsidRDefault="00064EAA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办公地址</w:t>
            </w:r>
          </w:p>
        </w:tc>
        <w:tc>
          <w:tcPr>
            <w:tcW w:w="1304" w:type="pct"/>
            <w:vAlign w:val="center"/>
          </w:tcPr>
          <w:p w:rsidR="00064EAA" w:rsidRPr="00C82BDB" w:rsidRDefault="00064EAA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山东省寿光市农圣东街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2199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706" w:type="pct"/>
            <w:gridSpan w:val="4"/>
            <w:vAlign w:val="center"/>
          </w:tcPr>
          <w:p w:rsidR="00064EAA" w:rsidRPr="00C82BDB" w:rsidRDefault="00064EAA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山东省寿光市农圣东街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2199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025" w:type="pct"/>
            <w:vAlign w:val="center"/>
          </w:tcPr>
          <w:p w:rsidR="00064EAA" w:rsidRPr="00C82BDB" w:rsidRDefault="00064EAA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香港中环环球大厦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楼</w:t>
            </w:r>
          </w:p>
        </w:tc>
      </w:tr>
      <w:tr w:rsidR="00C82BDB" w:rsidRPr="00C82BDB" w:rsidTr="00D71C59">
        <w:trPr>
          <w:trHeight w:val="284"/>
        </w:trPr>
        <w:tc>
          <w:tcPr>
            <w:tcW w:w="965" w:type="pct"/>
            <w:shd w:val="clear" w:color="auto" w:fill="D3D3D3"/>
            <w:vAlign w:val="center"/>
          </w:tcPr>
          <w:p w:rsidR="00064EAA" w:rsidRPr="00C82BDB" w:rsidRDefault="00064EAA" w:rsidP="004E4760">
            <w:pPr>
              <w:spacing w:before="40" w:after="4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电话</w:t>
            </w:r>
          </w:p>
        </w:tc>
        <w:tc>
          <w:tcPr>
            <w:tcW w:w="1304" w:type="pct"/>
            <w:vAlign w:val="center"/>
          </w:tcPr>
          <w:p w:rsidR="00064EAA" w:rsidRPr="00C82BDB" w:rsidRDefault="00064EAA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0536-2158008</w:t>
            </w:r>
          </w:p>
        </w:tc>
        <w:tc>
          <w:tcPr>
            <w:tcW w:w="1706" w:type="pct"/>
            <w:gridSpan w:val="4"/>
            <w:vAlign w:val="center"/>
          </w:tcPr>
          <w:p w:rsidR="00064EAA" w:rsidRPr="00C82BDB" w:rsidRDefault="00064EAA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0536-2158008</w:t>
            </w:r>
          </w:p>
        </w:tc>
        <w:tc>
          <w:tcPr>
            <w:tcW w:w="1025" w:type="pct"/>
            <w:vAlign w:val="center"/>
          </w:tcPr>
          <w:p w:rsidR="00064EAA" w:rsidRPr="00C82BDB" w:rsidRDefault="00064EAA" w:rsidP="004E476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00852-21629600</w:t>
            </w:r>
          </w:p>
        </w:tc>
      </w:tr>
    </w:tbl>
    <w:p w:rsidR="00776D99" w:rsidRPr="00C82BDB" w:rsidRDefault="00584C87">
      <w:pPr>
        <w:pStyle w:val="3"/>
        <w:spacing w:line="280" w:lineRule="exact"/>
        <w:jc w:val="left"/>
        <w:rPr>
          <w:rFonts w:ascii="Times New Roman" w:hAnsi="Times New Roman" w:cs="Times New Roman"/>
          <w:b/>
          <w:bCs/>
        </w:rPr>
      </w:pPr>
      <w:r w:rsidRPr="00C82BDB">
        <w:rPr>
          <w:rFonts w:ascii="Times New Roman" w:hAnsi="Times New Roman" w:cs="Times New Roman"/>
          <w:b/>
          <w:bCs/>
        </w:rPr>
        <w:t>2</w:t>
      </w:r>
      <w:r w:rsidRPr="00C82BDB">
        <w:rPr>
          <w:rFonts w:ascii="Times New Roman" w:hAnsi="Times New Roman" w:cs="Times New Roman"/>
          <w:b/>
          <w:bCs/>
        </w:rPr>
        <w:t>、主要会计数据和财务指标</w:t>
      </w:r>
      <w:bookmarkEnd w:id="3"/>
    </w:p>
    <w:p w:rsidR="00776D99" w:rsidRPr="00C82BDB" w:rsidRDefault="00584C87">
      <w:pPr>
        <w:spacing w:line="24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公司是否需追溯调整或重述以前年度会计数据</w:t>
      </w:r>
    </w:p>
    <w:p w:rsidR="00776D99" w:rsidRPr="00C82BDB" w:rsidRDefault="00584C87">
      <w:pPr>
        <w:spacing w:before="40" w:after="40"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□是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否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5"/>
        <w:gridCol w:w="1928"/>
        <w:gridCol w:w="1928"/>
        <w:gridCol w:w="1928"/>
      </w:tblGrid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776D99" w:rsidRPr="00C82BDB" w:rsidRDefault="00776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本报告期</w:t>
            </w:r>
          </w:p>
        </w:tc>
        <w:tc>
          <w:tcPr>
            <w:tcW w:w="1928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上年同期</w:t>
            </w:r>
          </w:p>
        </w:tc>
        <w:tc>
          <w:tcPr>
            <w:tcW w:w="1928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本报告期比上年同期增减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营业收入（元）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13,884,731,519.04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12,564,962,781.31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10.50%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归属于上市公司股东的净利润（元）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28,646,205.42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-688,080,164.10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104.16%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归属于上市公司股东的扣除非经常性损益的净利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润（元）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-270,865,043.51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-811,839,217.49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66.64%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经营活动产生的现金流量净额（元）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1,992,499,393.07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1,783,087,747.59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11.74%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基本每股收益（元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104.00%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稀释每股收益（元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104.00%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加权平均净资产收益率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0.17%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-4.15%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增加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4.32</w:t>
            </w: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个百分点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776D99" w:rsidRPr="00C82BDB" w:rsidRDefault="00776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本报告期末</w:t>
            </w:r>
          </w:p>
        </w:tc>
        <w:tc>
          <w:tcPr>
            <w:tcW w:w="1928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上年度末</w:t>
            </w:r>
          </w:p>
        </w:tc>
        <w:tc>
          <w:tcPr>
            <w:tcW w:w="1928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本报告期末比上年度末增减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总资产（元）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77,501,281,219.73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79,487,052,953.58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-2.50%</w:t>
            </w:r>
          </w:p>
        </w:tc>
      </w:tr>
      <w:tr w:rsidR="00C82BDB" w:rsidRPr="00C82BDB" w:rsidTr="00B70915">
        <w:trPr>
          <w:trHeight w:val="240"/>
        </w:trPr>
        <w:tc>
          <w:tcPr>
            <w:tcW w:w="3855" w:type="dxa"/>
            <w:shd w:val="clear" w:color="auto" w:fill="D3D3D3"/>
            <w:vAlign w:val="center"/>
          </w:tcPr>
          <w:p w:rsidR="00B70915" w:rsidRPr="00C82BDB" w:rsidRDefault="00B70915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归属于上市公司股东的净资产（元）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16,628,929,026.08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16,692,175,196.53</w:t>
            </w:r>
          </w:p>
        </w:tc>
        <w:tc>
          <w:tcPr>
            <w:tcW w:w="1928" w:type="dxa"/>
            <w:vAlign w:val="center"/>
          </w:tcPr>
          <w:p w:rsidR="00B70915" w:rsidRPr="00C82BDB" w:rsidRDefault="00B70915" w:rsidP="00B709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hAnsi="Times New Roman" w:cs="Times New Roman"/>
                <w:sz w:val="18"/>
                <w:szCs w:val="18"/>
              </w:rPr>
              <w:t>-0.38%</w:t>
            </w:r>
          </w:p>
        </w:tc>
      </w:tr>
    </w:tbl>
    <w:p w:rsidR="00776D99" w:rsidRPr="00C82BDB" w:rsidRDefault="00584C87">
      <w:pPr>
        <w:pStyle w:val="3"/>
        <w:spacing w:line="280" w:lineRule="exact"/>
        <w:jc w:val="left"/>
        <w:rPr>
          <w:rFonts w:ascii="Times New Roman" w:hAnsi="Times New Roman" w:cs="Times New Roman"/>
          <w:b/>
          <w:bCs/>
        </w:rPr>
      </w:pPr>
      <w:bookmarkStart w:id="5" w:name="_Toc988893"/>
      <w:r w:rsidRPr="00C82BDB">
        <w:rPr>
          <w:rFonts w:ascii="Times New Roman" w:hAnsi="Times New Roman" w:cs="Times New Roman"/>
          <w:b/>
          <w:bCs/>
        </w:rPr>
        <w:t>3</w:t>
      </w:r>
      <w:r w:rsidRPr="00C82BDB">
        <w:rPr>
          <w:rFonts w:ascii="Times New Roman" w:hAnsi="Times New Roman" w:cs="Times New Roman"/>
          <w:b/>
          <w:bCs/>
        </w:rPr>
        <w:t>、公司股东数量及持股情况</w:t>
      </w:r>
      <w:bookmarkEnd w:id="5"/>
    </w:p>
    <w:p w:rsidR="00776D99" w:rsidRPr="00C82BDB" w:rsidRDefault="00584C87">
      <w:pPr>
        <w:spacing w:before="120" w:after="120" w:line="240" w:lineRule="exact"/>
        <w:jc w:val="righ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单位：股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1714"/>
        <w:gridCol w:w="1417"/>
        <w:gridCol w:w="709"/>
        <w:gridCol w:w="1134"/>
        <w:gridCol w:w="381"/>
        <w:gridCol w:w="611"/>
        <w:gridCol w:w="567"/>
        <w:gridCol w:w="964"/>
      </w:tblGrid>
      <w:tr w:rsidR="00C82BDB" w:rsidRPr="00C82BDB" w:rsidTr="008402E9">
        <w:trPr>
          <w:trHeight w:val="284"/>
        </w:trPr>
        <w:tc>
          <w:tcPr>
            <w:tcW w:w="2142" w:type="dxa"/>
            <w:shd w:val="clear" w:color="auto" w:fill="D3D3D3"/>
            <w:vAlign w:val="center"/>
          </w:tcPr>
          <w:p w:rsidR="00064EAA" w:rsidRPr="00C82BDB" w:rsidRDefault="00064EAA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报告期末普通股股东总数</w:t>
            </w:r>
          </w:p>
        </w:tc>
        <w:tc>
          <w:tcPr>
            <w:tcW w:w="3131" w:type="dxa"/>
            <w:gridSpan w:val="2"/>
            <w:vAlign w:val="center"/>
          </w:tcPr>
          <w:p w:rsidR="00064EAA" w:rsidRPr="00C82BDB" w:rsidRDefault="00064EAA" w:rsidP="004E4760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138,850 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（其中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A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118,008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户，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B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20,519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户，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323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户</w:t>
            </w:r>
            <w:r w:rsidRPr="00C82BD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24" w:type="dxa"/>
            <w:gridSpan w:val="3"/>
            <w:shd w:val="clear" w:color="auto" w:fill="D3D3D3"/>
            <w:vAlign w:val="center"/>
          </w:tcPr>
          <w:p w:rsidR="00064EAA" w:rsidRPr="00C82BDB" w:rsidRDefault="00064EAA" w:rsidP="00064EAA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报告期末表决权恢复的优先股股东总数</w:t>
            </w:r>
          </w:p>
        </w:tc>
        <w:tc>
          <w:tcPr>
            <w:tcW w:w="2142" w:type="dxa"/>
            <w:gridSpan w:val="3"/>
            <w:vAlign w:val="center"/>
          </w:tcPr>
          <w:p w:rsidR="00064EAA" w:rsidRPr="00C82BDB" w:rsidRDefault="00064EAA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</w:tr>
      <w:tr w:rsidR="00C82BDB" w:rsidRPr="00C82BDB" w:rsidTr="00064EAA">
        <w:trPr>
          <w:trHeight w:val="284"/>
        </w:trPr>
        <w:tc>
          <w:tcPr>
            <w:tcW w:w="9639" w:type="dxa"/>
            <w:gridSpan w:val="9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前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名股东持股情况（不含通过转融通出借股份）</w:t>
            </w: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Merge w:val="restart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股东名称</w:t>
            </w:r>
          </w:p>
        </w:tc>
        <w:tc>
          <w:tcPr>
            <w:tcW w:w="1417" w:type="dxa"/>
            <w:vMerge w:val="restart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股东性质</w:t>
            </w:r>
          </w:p>
        </w:tc>
        <w:tc>
          <w:tcPr>
            <w:tcW w:w="709" w:type="dxa"/>
            <w:vMerge w:val="restart"/>
            <w:shd w:val="clear" w:color="auto" w:fill="D3D3D3"/>
            <w:vAlign w:val="center"/>
          </w:tcPr>
          <w:p w:rsidR="008402E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持股</w:t>
            </w:r>
          </w:p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比例</w:t>
            </w:r>
          </w:p>
        </w:tc>
        <w:tc>
          <w:tcPr>
            <w:tcW w:w="1134" w:type="dxa"/>
            <w:vMerge w:val="restart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持股数量</w:t>
            </w:r>
          </w:p>
        </w:tc>
        <w:tc>
          <w:tcPr>
            <w:tcW w:w="992" w:type="dxa"/>
            <w:gridSpan w:val="2"/>
            <w:vMerge w:val="restart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持有有限</w:t>
            </w:r>
            <w:proofErr w:type="gramStart"/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售条件</w:t>
            </w:r>
            <w:proofErr w:type="gramEnd"/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的股份数量</w:t>
            </w:r>
          </w:p>
        </w:tc>
        <w:tc>
          <w:tcPr>
            <w:tcW w:w="1531" w:type="dxa"/>
            <w:gridSpan w:val="2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质押、标记或冻结情况</w:t>
            </w: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Merge/>
            <w:shd w:val="clear" w:color="auto" w:fill="D3D3D3"/>
            <w:vAlign w:val="center"/>
          </w:tcPr>
          <w:p w:rsidR="00776D99" w:rsidRPr="00C82BDB" w:rsidRDefault="00776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D3D3D3"/>
            <w:vAlign w:val="center"/>
          </w:tcPr>
          <w:p w:rsidR="00776D99" w:rsidRPr="00C82BDB" w:rsidRDefault="00776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D3D3D3"/>
            <w:vAlign w:val="center"/>
          </w:tcPr>
          <w:p w:rsidR="00776D99" w:rsidRPr="00C82BDB" w:rsidRDefault="00776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D3D3D3"/>
            <w:vAlign w:val="center"/>
          </w:tcPr>
          <w:p w:rsidR="00776D99" w:rsidRPr="00C82BDB" w:rsidRDefault="00776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shd w:val="clear" w:color="auto" w:fill="D3D3D3"/>
            <w:vAlign w:val="center"/>
          </w:tcPr>
          <w:p w:rsidR="00776D99" w:rsidRPr="00C82BDB" w:rsidRDefault="00776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股份状态</w:t>
            </w:r>
          </w:p>
        </w:tc>
        <w:tc>
          <w:tcPr>
            <w:tcW w:w="964" w:type="dxa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数量</w:t>
            </w: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晨鸣控股有限公司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国有法人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15.47%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457,322,919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584C87" w:rsidP="00064EA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质押</w:t>
            </w:r>
          </w:p>
        </w:tc>
        <w:tc>
          <w:tcPr>
            <w:tcW w:w="96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288,778,200</w:t>
            </w: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HKSCC NOMINEES LIMITED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境外法人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12.63%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373,430,775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晨鸣控股（香港）有限公司</w:t>
            </w:r>
            <w:r w:rsidR="008402E9" w:rsidRPr="00C82BD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8402E9" w:rsidRPr="00C82BDB">
              <w:rPr>
                <w:rFonts w:ascii="Times New Roman" w:eastAsia="宋体" w:hAnsi="Times New Roman" w:cs="Times New Roman"/>
                <w:kern w:val="0"/>
                <w:sz w:val="18"/>
                <w:szCs w:val="24"/>
                <w:lang w:val="zh-CN"/>
              </w:rPr>
              <w:t>注</w:t>
            </w:r>
            <w:r w:rsidR="008402E9" w:rsidRPr="00C82BDB">
              <w:rPr>
                <w:rFonts w:ascii="Times New Roman" w:eastAsia="宋体" w:hAnsi="Times New Roman" w:cs="Times New Roman"/>
                <w:kern w:val="0"/>
                <w:sz w:val="18"/>
                <w:szCs w:val="24"/>
                <w:lang w:val="zh-CN"/>
              </w:rPr>
              <w:t>1</w:t>
            </w:r>
            <w:r w:rsidR="008402E9" w:rsidRPr="00C82BD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境外法人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12.32%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364,131,563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陈洪国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境内自然人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0.85%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25,080,044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18,810,033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山东太阳控股集团有限公司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境内非国有法人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0.84%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24,827,117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招商证券（香港）有限公司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境外法人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0.72%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21,186,095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VANGUARD TOTAL INTERNATIONAL STOCK INDEX FUND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境外法人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0.50%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14,771,945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VANGUARD EMERGING MARKETS STOCK INDEX FUND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境外法人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0.49%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14,535,446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香港中央结算有限公司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境外法人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0.42%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12,305,222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8402E9">
        <w:trPr>
          <w:trHeight w:val="284"/>
        </w:trPr>
        <w:tc>
          <w:tcPr>
            <w:tcW w:w="3856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许和坤</w:t>
            </w:r>
          </w:p>
        </w:tc>
        <w:tc>
          <w:tcPr>
            <w:tcW w:w="1417" w:type="dxa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境内自然人</w:t>
            </w:r>
          </w:p>
        </w:tc>
        <w:tc>
          <w:tcPr>
            <w:tcW w:w="709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0.23%</w:t>
            </w:r>
          </w:p>
        </w:tc>
        <w:tc>
          <w:tcPr>
            <w:tcW w:w="1134" w:type="dxa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6,789,900</w:t>
            </w:r>
          </w:p>
        </w:tc>
        <w:tc>
          <w:tcPr>
            <w:tcW w:w="992" w:type="dxa"/>
            <w:gridSpan w:val="2"/>
            <w:vAlign w:val="center"/>
          </w:tcPr>
          <w:p w:rsidR="00776D99" w:rsidRPr="00C82BDB" w:rsidRDefault="00584C87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776D99" w:rsidRPr="00C82BDB" w:rsidRDefault="00776D99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776D99" w:rsidRPr="00C82BDB" w:rsidRDefault="00776D99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82BDB" w:rsidRPr="00C82BDB" w:rsidTr="00064EAA">
        <w:trPr>
          <w:trHeight w:val="284"/>
        </w:trPr>
        <w:tc>
          <w:tcPr>
            <w:tcW w:w="3856" w:type="dxa"/>
            <w:gridSpan w:val="2"/>
            <w:shd w:val="clear" w:color="auto" w:fill="D3D3D3"/>
            <w:vAlign w:val="center"/>
          </w:tcPr>
          <w:p w:rsidR="00776D99" w:rsidRPr="00C82BDB" w:rsidRDefault="00584C87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上述股东关联关系或一致行动的说明</w:t>
            </w:r>
          </w:p>
        </w:tc>
        <w:tc>
          <w:tcPr>
            <w:tcW w:w="5783" w:type="dxa"/>
            <w:gridSpan w:val="7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境外法人股东晨鸣控股（香港）有限公司为国有法人股东晨鸣控股有限公司的全资子公司；股东陈洪国为晨鸣控股有限公司的法定代表人、董事长。除此之外，未知上述其他股东是否属于一致行动人，也未知上述其他股东之间是否存在关联关系。</w:t>
            </w:r>
          </w:p>
        </w:tc>
      </w:tr>
      <w:tr w:rsidR="00C82BDB" w:rsidRPr="00C82BDB" w:rsidTr="00064EAA">
        <w:trPr>
          <w:trHeight w:val="284"/>
        </w:trPr>
        <w:tc>
          <w:tcPr>
            <w:tcW w:w="3856" w:type="dxa"/>
            <w:gridSpan w:val="2"/>
            <w:shd w:val="clear" w:color="auto" w:fill="D3D3D3"/>
            <w:vAlign w:val="center"/>
          </w:tcPr>
          <w:p w:rsidR="00776D99" w:rsidRPr="00C82BDB" w:rsidRDefault="00584C87" w:rsidP="0060303B">
            <w:pPr>
              <w:spacing w:before="40" w:after="40"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参与融资融券业务股东情况说明</w:t>
            </w:r>
          </w:p>
        </w:tc>
        <w:tc>
          <w:tcPr>
            <w:tcW w:w="5783" w:type="dxa"/>
            <w:gridSpan w:val="7"/>
            <w:vAlign w:val="center"/>
          </w:tcPr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晨鸣控股有限公司持有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457,322,919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股人民币普通股，其中普通账户持有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326,322,919 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股，通过信用担保证券账户持有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131,000,000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股；</w:t>
            </w:r>
          </w:p>
          <w:p w:rsidR="00776D99" w:rsidRPr="00C82BDB" w:rsidRDefault="00584C8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山东太阳控股集团有限公司持有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24,827,117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股人民币普通股，其中普通账户持有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股，通过信用担保证券账户持有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24,827,117</w:t>
            </w:r>
            <w:r w:rsidRPr="00C82BDB">
              <w:rPr>
                <w:rFonts w:ascii="Times New Roman" w:eastAsia="宋体" w:hAnsi="Times New Roman" w:cs="Times New Roman"/>
                <w:sz w:val="18"/>
                <w:szCs w:val="18"/>
              </w:rPr>
              <w:t>股。</w:t>
            </w:r>
          </w:p>
        </w:tc>
      </w:tr>
    </w:tbl>
    <w:p w:rsidR="008402E9" w:rsidRPr="00C82BDB" w:rsidRDefault="008402E9" w:rsidP="008402E9">
      <w:pPr>
        <w:spacing w:before="120"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kern w:val="0"/>
          <w:sz w:val="18"/>
          <w:szCs w:val="24"/>
          <w:lang w:val="zh-CN"/>
        </w:rPr>
        <w:t>注</w:t>
      </w:r>
      <w:r w:rsidRPr="00C82BDB">
        <w:rPr>
          <w:rFonts w:ascii="Times New Roman" w:eastAsia="宋体" w:hAnsi="Times New Roman" w:cs="Times New Roman"/>
          <w:kern w:val="0"/>
          <w:sz w:val="18"/>
          <w:szCs w:val="24"/>
          <w:lang w:val="zh-CN"/>
        </w:rPr>
        <w:t>1</w:t>
      </w:r>
      <w:r w:rsidRPr="00C82BDB">
        <w:rPr>
          <w:rFonts w:ascii="Times New Roman" w:eastAsia="宋体" w:hAnsi="Times New Roman" w:cs="Times New Roman" w:hint="eastAsia"/>
          <w:kern w:val="0"/>
          <w:sz w:val="18"/>
          <w:szCs w:val="24"/>
          <w:lang w:val="zh-CN"/>
        </w:rPr>
        <w:t>：</w:t>
      </w:r>
      <w:r w:rsidRPr="00C82BDB">
        <w:rPr>
          <w:rFonts w:ascii="Times New Roman" w:hAnsi="Times New Roman" w:cs="Times New Roman" w:hint="eastAsia"/>
          <w:sz w:val="18"/>
          <w:szCs w:val="18"/>
        </w:rPr>
        <w:t>为满足自身资金需求，晨鸣控股（香港）有限公司与境外机构开展了股票融资业务，将其持有的公司</w:t>
      </w:r>
      <w:r w:rsidRPr="00C82BDB">
        <w:rPr>
          <w:rFonts w:ascii="Times New Roman" w:hAnsi="Times New Roman" w:cs="Times New Roman" w:hint="eastAsia"/>
          <w:sz w:val="18"/>
          <w:szCs w:val="18"/>
        </w:rPr>
        <w:t>210,717,563</w:t>
      </w:r>
      <w:r w:rsidRPr="00C82BDB">
        <w:rPr>
          <w:rFonts w:ascii="Times New Roman" w:hAnsi="Times New Roman" w:cs="Times New Roman" w:hint="eastAsia"/>
          <w:sz w:val="18"/>
          <w:szCs w:val="18"/>
        </w:rPr>
        <w:t>股</w:t>
      </w:r>
      <w:r w:rsidRPr="00C82BDB">
        <w:rPr>
          <w:rFonts w:ascii="Times New Roman" w:hAnsi="Times New Roman" w:cs="Times New Roman" w:hint="eastAsia"/>
          <w:sz w:val="18"/>
          <w:szCs w:val="18"/>
        </w:rPr>
        <w:t>B</w:t>
      </w:r>
      <w:r w:rsidRPr="00C82BDB">
        <w:rPr>
          <w:rFonts w:ascii="Times New Roman" w:hAnsi="Times New Roman" w:cs="Times New Roman" w:hint="eastAsia"/>
          <w:sz w:val="18"/>
          <w:szCs w:val="18"/>
        </w:rPr>
        <w:t>股和</w:t>
      </w:r>
      <w:r w:rsidRPr="00C82BDB">
        <w:rPr>
          <w:rFonts w:ascii="Times New Roman" w:hAnsi="Times New Roman" w:cs="Times New Roman" w:hint="eastAsia"/>
          <w:sz w:val="18"/>
          <w:szCs w:val="18"/>
        </w:rPr>
        <w:t>153,414,000</w:t>
      </w:r>
      <w:r w:rsidRPr="00C82BDB">
        <w:rPr>
          <w:rFonts w:ascii="Times New Roman" w:hAnsi="Times New Roman" w:cs="Times New Roman" w:hint="eastAsia"/>
          <w:sz w:val="18"/>
          <w:szCs w:val="18"/>
        </w:rPr>
        <w:t>股</w:t>
      </w:r>
      <w:r w:rsidRPr="00C82BDB">
        <w:rPr>
          <w:rFonts w:ascii="Times New Roman" w:hAnsi="Times New Roman" w:cs="Times New Roman" w:hint="eastAsia"/>
          <w:sz w:val="18"/>
          <w:szCs w:val="18"/>
        </w:rPr>
        <w:t>H</w:t>
      </w:r>
      <w:r w:rsidRPr="00C82BDB">
        <w:rPr>
          <w:rFonts w:ascii="Times New Roman" w:hAnsi="Times New Roman" w:cs="Times New Roman" w:hint="eastAsia"/>
          <w:sz w:val="18"/>
          <w:szCs w:val="18"/>
        </w:rPr>
        <w:t>股托管至境外机构指定的托管券商，前述涉及的股票存在无法返还的风险，可能将导致对公司的持股比例降低，但对晨鸣控股的第一大股东地位无影响，对公司的控制权无影响。详情请参阅公司于</w:t>
      </w:r>
      <w:r w:rsidRPr="00C82BDB">
        <w:rPr>
          <w:rFonts w:ascii="Times New Roman" w:hAnsi="Times New Roman" w:cs="Times New Roman"/>
          <w:sz w:val="18"/>
          <w:szCs w:val="18"/>
        </w:rPr>
        <w:t>202</w:t>
      </w:r>
      <w:r w:rsidRPr="00C82BDB">
        <w:rPr>
          <w:rFonts w:ascii="Times New Roman" w:hAnsi="Times New Roman" w:cs="Times New Roman" w:hint="eastAsia"/>
          <w:sz w:val="18"/>
          <w:szCs w:val="18"/>
        </w:rPr>
        <w:t>3</w:t>
      </w:r>
      <w:r w:rsidRPr="00C82BDB">
        <w:rPr>
          <w:rFonts w:ascii="Times New Roman" w:hAnsi="Times New Roman" w:cs="Times New Roman" w:hint="eastAsia"/>
          <w:sz w:val="18"/>
          <w:szCs w:val="18"/>
        </w:rPr>
        <w:t>年</w:t>
      </w:r>
      <w:r w:rsidRPr="00C82BDB">
        <w:rPr>
          <w:rFonts w:ascii="Times New Roman" w:hAnsi="Times New Roman" w:cs="Times New Roman" w:hint="eastAsia"/>
          <w:sz w:val="18"/>
          <w:szCs w:val="18"/>
        </w:rPr>
        <w:t>7</w:t>
      </w:r>
      <w:r w:rsidRPr="00C82BDB">
        <w:rPr>
          <w:rFonts w:ascii="Times New Roman" w:hAnsi="Times New Roman" w:cs="Times New Roman" w:hint="eastAsia"/>
          <w:sz w:val="18"/>
          <w:szCs w:val="18"/>
        </w:rPr>
        <w:t>月</w:t>
      </w:r>
      <w:r w:rsidRPr="00C82BDB">
        <w:rPr>
          <w:rFonts w:ascii="Times New Roman" w:hAnsi="Times New Roman" w:cs="Times New Roman" w:hint="eastAsia"/>
          <w:sz w:val="18"/>
          <w:szCs w:val="18"/>
        </w:rPr>
        <w:t>18</w:t>
      </w:r>
      <w:r w:rsidRPr="00C82BDB">
        <w:rPr>
          <w:rFonts w:ascii="Times New Roman" w:hAnsi="Times New Roman" w:cs="Times New Roman" w:hint="eastAsia"/>
          <w:sz w:val="18"/>
          <w:szCs w:val="18"/>
        </w:rPr>
        <w:t>日在巨潮资讯网上披露的公告（公告编号为：</w:t>
      </w:r>
      <w:r w:rsidRPr="00C82BDB">
        <w:rPr>
          <w:rFonts w:ascii="Times New Roman" w:hAnsi="Times New Roman" w:cs="Times New Roman"/>
          <w:sz w:val="18"/>
          <w:szCs w:val="18"/>
        </w:rPr>
        <w:t>202</w:t>
      </w:r>
      <w:r w:rsidRPr="00C82BDB">
        <w:rPr>
          <w:rFonts w:ascii="Times New Roman" w:hAnsi="Times New Roman" w:cs="Times New Roman" w:hint="eastAsia"/>
          <w:sz w:val="18"/>
          <w:szCs w:val="18"/>
        </w:rPr>
        <w:t>3</w:t>
      </w:r>
      <w:r w:rsidRPr="00C82BDB">
        <w:rPr>
          <w:rFonts w:ascii="Times New Roman" w:hAnsi="Times New Roman" w:cs="Times New Roman"/>
          <w:sz w:val="18"/>
          <w:szCs w:val="18"/>
        </w:rPr>
        <w:t>-0</w:t>
      </w:r>
      <w:r w:rsidRPr="00C82BDB">
        <w:rPr>
          <w:rFonts w:ascii="Times New Roman" w:hAnsi="Times New Roman" w:cs="Times New Roman" w:hint="eastAsia"/>
          <w:sz w:val="18"/>
          <w:szCs w:val="18"/>
        </w:rPr>
        <w:t>58</w:t>
      </w:r>
      <w:r w:rsidRPr="00C82BDB">
        <w:rPr>
          <w:rFonts w:ascii="Times New Roman" w:hAnsi="Times New Roman" w:cs="Times New Roman" w:hint="eastAsia"/>
          <w:sz w:val="18"/>
          <w:szCs w:val="18"/>
        </w:rPr>
        <w:t>）及于</w:t>
      </w:r>
      <w:r w:rsidRPr="00C82BDB">
        <w:rPr>
          <w:rFonts w:ascii="Times New Roman" w:hAnsi="Times New Roman" w:cs="Times New Roman" w:hint="eastAsia"/>
          <w:sz w:val="18"/>
          <w:szCs w:val="18"/>
        </w:rPr>
        <w:t>2023</w:t>
      </w:r>
      <w:r w:rsidRPr="00C82BDB">
        <w:rPr>
          <w:rFonts w:ascii="Times New Roman" w:hAnsi="Times New Roman" w:cs="Times New Roman" w:hint="eastAsia"/>
          <w:sz w:val="18"/>
          <w:szCs w:val="18"/>
        </w:rPr>
        <w:t>年</w:t>
      </w:r>
      <w:r w:rsidRPr="00C82BDB">
        <w:rPr>
          <w:rFonts w:ascii="Times New Roman" w:hAnsi="Times New Roman" w:cs="Times New Roman" w:hint="eastAsia"/>
          <w:sz w:val="18"/>
          <w:szCs w:val="18"/>
        </w:rPr>
        <w:t>7</w:t>
      </w:r>
      <w:r w:rsidRPr="00C82BDB">
        <w:rPr>
          <w:rFonts w:ascii="Times New Roman" w:hAnsi="Times New Roman" w:cs="Times New Roman" w:hint="eastAsia"/>
          <w:sz w:val="18"/>
          <w:szCs w:val="18"/>
        </w:rPr>
        <w:t>月</w:t>
      </w:r>
      <w:r w:rsidRPr="00C82BDB">
        <w:rPr>
          <w:rFonts w:ascii="Times New Roman" w:hAnsi="Times New Roman" w:cs="Times New Roman" w:hint="eastAsia"/>
          <w:sz w:val="18"/>
          <w:szCs w:val="18"/>
        </w:rPr>
        <w:t>18</w:t>
      </w:r>
      <w:r w:rsidRPr="00C82BDB">
        <w:rPr>
          <w:rFonts w:ascii="Times New Roman" w:hAnsi="Times New Roman" w:cs="Times New Roman" w:hint="eastAsia"/>
          <w:sz w:val="18"/>
          <w:szCs w:val="18"/>
        </w:rPr>
        <w:t>日在香港联交所网站上披露的内幕消息。</w:t>
      </w:r>
    </w:p>
    <w:p w:rsidR="00776D99" w:rsidRPr="00C82BDB" w:rsidRDefault="00584C87">
      <w:pPr>
        <w:spacing w:before="100" w:after="100" w:line="24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持股</w:t>
      </w:r>
      <w:r w:rsidRPr="00C82BDB">
        <w:rPr>
          <w:rFonts w:ascii="Times New Roman" w:eastAsia="宋体" w:hAnsi="Times New Roman" w:cs="Times New Roman"/>
          <w:sz w:val="18"/>
          <w:szCs w:val="18"/>
        </w:rPr>
        <w:t>5%</w:t>
      </w:r>
      <w:r w:rsidRPr="00C82BDB">
        <w:rPr>
          <w:rFonts w:ascii="Times New Roman" w:eastAsia="宋体" w:hAnsi="Times New Roman" w:cs="Times New Roman"/>
          <w:sz w:val="18"/>
          <w:szCs w:val="18"/>
        </w:rPr>
        <w:t>以上股东、前</w:t>
      </w:r>
      <w:r w:rsidRPr="00C82BDB">
        <w:rPr>
          <w:rFonts w:ascii="Times New Roman" w:eastAsia="宋体" w:hAnsi="Times New Roman" w:cs="Times New Roman"/>
          <w:sz w:val="18"/>
          <w:szCs w:val="18"/>
        </w:rPr>
        <w:t>10</w:t>
      </w:r>
      <w:r w:rsidRPr="00C82BDB">
        <w:rPr>
          <w:rFonts w:ascii="Times New Roman" w:eastAsia="宋体" w:hAnsi="Times New Roman" w:cs="Times New Roman"/>
          <w:sz w:val="18"/>
          <w:szCs w:val="18"/>
        </w:rPr>
        <w:t>名股东及前</w:t>
      </w:r>
      <w:r w:rsidRPr="00C82BDB">
        <w:rPr>
          <w:rFonts w:ascii="Times New Roman" w:eastAsia="宋体" w:hAnsi="Times New Roman" w:cs="Times New Roman"/>
          <w:sz w:val="18"/>
          <w:szCs w:val="18"/>
        </w:rPr>
        <w:t>10</w:t>
      </w:r>
      <w:r w:rsidRPr="00C82BDB">
        <w:rPr>
          <w:rFonts w:ascii="Times New Roman" w:eastAsia="宋体" w:hAnsi="Times New Roman" w:cs="Times New Roman"/>
          <w:sz w:val="18"/>
          <w:szCs w:val="18"/>
        </w:rPr>
        <w:t>名无限</w:t>
      </w:r>
      <w:proofErr w:type="gramStart"/>
      <w:r w:rsidRPr="00C82BDB">
        <w:rPr>
          <w:rFonts w:ascii="Times New Roman" w:eastAsia="宋体" w:hAnsi="Times New Roman" w:cs="Times New Roman"/>
          <w:sz w:val="18"/>
          <w:szCs w:val="18"/>
        </w:rPr>
        <w:t>售流通</w:t>
      </w:r>
      <w:proofErr w:type="gramEnd"/>
      <w:r w:rsidRPr="00C82BDB">
        <w:rPr>
          <w:rFonts w:ascii="Times New Roman" w:eastAsia="宋体" w:hAnsi="Times New Roman" w:cs="Times New Roman"/>
          <w:sz w:val="18"/>
          <w:szCs w:val="18"/>
        </w:rPr>
        <w:t>股股东参与转融通业务出借股份情况</w:t>
      </w:r>
    </w:p>
    <w:p w:rsidR="00776D99" w:rsidRPr="00C82BDB" w:rsidRDefault="00584C87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spacing w:before="100" w:after="100" w:line="24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前</w:t>
      </w:r>
      <w:r w:rsidRPr="00C82BDB">
        <w:rPr>
          <w:rFonts w:ascii="Times New Roman" w:eastAsia="宋体" w:hAnsi="Times New Roman" w:cs="Times New Roman"/>
          <w:sz w:val="18"/>
          <w:szCs w:val="18"/>
        </w:rPr>
        <w:t>10</w:t>
      </w:r>
      <w:r w:rsidRPr="00C82BDB">
        <w:rPr>
          <w:rFonts w:ascii="Times New Roman" w:eastAsia="宋体" w:hAnsi="Times New Roman" w:cs="Times New Roman"/>
          <w:sz w:val="18"/>
          <w:szCs w:val="18"/>
        </w:rPr>
        <w:t>名股东及前</w:t>
      </w:r>
      <w:r w:rsidRPr="00C82BDB">
        <w:rPr>
          <w:rFonts w:ascii="Times New Roman" w:eastAsia="宋体" w:hAnsi="Times New Roman" w:cs="Times New Roman"/>
          <w:sz w:val="18"/>
          <w:szCs w:val="18"/>
        </w:rPr>
        <w:t>10</w:t>
      </w:r>
      <w:r w:rsidRPr="00C82BDB">
        <w:rPr>
          <w:rFonts w:ascii="Times New Roman" w:eastAsia="宋体" w:hAnsi="Times New Roman" w:cs="Times New Roman"/>
          <w:sz w:val="18"/>
          <w:szCs w:val="18"/>
        </w:rPr>
        <w:t>名无限</w:t>
      </w:r>
      <w:proofErr w:type="gramStart"/>
      <w:r w:rsidRPr="00C82BDB">
        <w:rPr>
          <w:rFonts w:ascii="Times New Roman" w:eastAsia="宋体" w:hAnsi="Times New Roman" w:cs="Times New Roman"/>
          <w:sz w:val="18"/>
          <w:szCs w:val="18"/>
        </w:rPr>
        <w:t>售流通</w:t>
      </w:r>
      <w:proofErr w:type="gramEnd"/>
      <w:r w:rsidRPr="00C82BDB">
        <w:rPr>
          <w:rFonts w:ascii="Times New Roman" w:eastAsia="宋体" w:hAnsi="Times New Roman" w:cs="Times New Roman"/>
          <w:sz w:val="18"/>
          <w:szCs w:val="18"/>
        </w:rPr>
        <w:t>股股东因转融通出借</w:t>
      </w:r>
      <w:r w:rsidRPr="00C82BDB">
        <w:rPr>
          <w:rFonts w:ascii="Times New Roman" w:eastAsia="宋体" w:hAnsi="Times New Roman" w:cs="Times New Roman"/>
          <w:sz w:val="18"/>
          <w:szCs w:val="18"/>
        </w:rPr>
        <w:t>/</w:t>
      </w:r>
      <w:r w:rsidRPr="00C82BDB">
        <w:rPr>
          <w:rFonts w:ascii="Times New Roman" w:eastAsia="宋体" w:hAnsi="Times New Roman" w:cs="Times New Roman"/>
          <w:sz w:val="18"/>
          <w:szCs w:val="18"/>
        </w:rPr>
        <w:t>归还原因导致较上期发生变化</w:t>
      </w:r>
    </w:p>
    <w:p w:rsidR="00776D99" w:rsidRPr="00C82BDB" w:rsidRDefault="00584C87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pStyle w:val="3"/>
        <w:spacing w:line="280" w:lineRule="exact"/>
        <w:jc w:val="left"/>
        <w:rPr>
          <w:rFonts w:ascii="Times New Roman" w:hAnsi="Times New Roman" w:cs="Times New Roman"/>
          <w:b/>
          <w:bCs/>
        </w:rPr>
      </w:pPr>
      <w:bookmarkStart w:id="6" w:name="_Toc988894"/>
      <w:r w:rsidRPr="00C82BDB">
        <w:rPr>
          <w:rFonts w:ascii="Times New Roman" w:hAnsi="Times New Roman" w:cs="Times New Roman"/>
          <w:b/>
          <w:bCs/>
        </w:rPr>
        <w:lastRenderedPageBreak/>
        <w:t>4</w:t>
      </w:r>
      <w:r w:rsidRPr="00C82BDB">
        <w:rPr>
          <w:rFonts w:ascii="Times New Roman" w:hAnsi="Times New Roman" w:cs="Times New Roman"/>
          <w:b/>
          <w:bCs/>
        </w:rPr>
        <w:t>、控股股东或实际控制人变更情况</w:t>
      </w:r>
      <w:bookmarkEnd w:id="6"/>
    </w:p>
    <w:p w:rsidR="00776D99" w:rsidRPr="00C82BDB" w:rsidRDefault="00584C87">
      <w:pPr>
        <w:spacing w:before="40" w:after="40" w:line="24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控股股东报告期内变更</w:t>
      </w:r>
    </w:p>
    <w:p w:rsidR="00776D99" w:rsidRPr="00C82BDB" w:rsidRDefault="00584C87" w:rsidP="00064EAA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spacing w:before="40" w:after="40" w:line="24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公司报告期控股股东未发生变更。</w:t>
      </w:r>
    </w:p>
    <w:p w:rsidR="00776D99" w:rsidRPr="00C82BDB" w:rsidRDefault="00584C87">
      <w:pPr>
        <w:spacing w:before="100" w:after="100" w:line="24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实际控制人报告期内变更</w:t>
      </w:r>
    </w:p>
    <w:p w:rsidR="00776D99" w:rsidRPr="00C82BDB" w:rsidRDefault="00584C87" w:rsidP="00064EAA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spacing w:before="40" w:after="40" w:line="24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公司报告期实际控制人未发生变更。</w:t>
      </w:r>
    </w:p>
    <w:p w:rsidR="00776D99" w:rsidRPr="00C82BDB" w:rsidRDefault="00584C87">
      <w:pPr>
        <w:pStyle w:val="3"/>
        <w:spacing w:line="280" w:lineRule="exact"/>
        <w:jc w:val="left"/>
        <w:rPr>
          <w:rFonts w:ascii="Times New Roman" w:hAnsi="Times New Roman" w:cs="Times New Roman"/>
          <w:b/>
          <w:bCs/>
        </w:rPr>
      </w:pPr>
      <w:bookmarkStart w:id="7" w:name="_Toc988895"/>
      <w:r w:rsidRPr="00C82BDB">
        <w:rPr>
          <w:rFonts w:ascii="Times New Roman" w:hAnsi="Times New Roman" w:cs="Times New Roman"/>
          <w:b/>
          <w:bCs/>
        </w:rPr>
        <w:t>5</w:t>
      </w:r>
      <w:r w:rsidRPr="00C82BDB">
        <w:rPr>
          <w:rFonts w:ascii="Times New Roman" w:hAnsi="Times New Roman" w:cs="Times New Roman"/>
          <w:b/>
          <w:bCs/>
        </w:rPr>
        <w:t>、公司优先股股东总数及前</w:t>
      </w:r>
      <w:r w:rsidRPr="00C82BDB">
        <w:rPr>
          <w:rFonts w:ascii="Times New Roman" w:hAnsi="Times New Roman" w:cs="Times New Roman"/>
          <w:b/>
          <w:bCs/>
        </w:rPr>
        <w:t>10</w:t>
      </w:r>
      <w:r w:rsidRPr="00C82BDB">
        <w:rPr>
          <w:rFonts w:ascii="Times New Roman" w:hAnsi="Times New Roman" w:cs="Times New Roman"/>
          <w:b/>
          <w:bCs/>
        </w:rPr>
        <w:t>名优先股股东持股情况表</w:t>
      </w:r>
      <w:bookmarkEnd w:id="7"/>
    </w:p>
    <w:p w:rsidR="00776D99" w:rsidRPr="00C82BDB" w:rsidRDefault="00584C87" w:rsidP="0047527D">
      <w:pPr>
        <w:spacing w:line="28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 w:rsidP="0047527D">
      <w:pPr>
        <w:spacing w:line="280" w:lineRule="exact"/>
        <w:rPr>
          <w:rFonts w:ascii="Times New Roman" w:eastAsia="宋体" w:hAnsi="Times New Roman" w:cs="Times New Roman"/>
          <w:sz w:val="18"/>
          <w:szCs w:val="18"/>
        </w:rPr>
      </w:pPr>
      <w:r w:rsidRPr="00C82BDB">
        <w:rPr>
          <w:rFonts w:ascii="Times New Roman" w:eastAsia="宋体" w:hAnsi="Times New Roman" w:cs="Times New Roman"/>
          <w:sz w:val="18"/>
          <w:szCs w:val="18"/>
        </w:rPr>
        <w:t>公司报告期无优先股股东持股情况。</w:t>
      </w:r>
    </w:p>
    <w:p w:rsidR="00776D99" w:rsidRPr="00C82BDB" w:rsidRDefault="00584C87">
      <w:pPr>
        <w:pStyle w:val="3"/>
        <w:spacing w:line="280" w:lineRule="exact"/>
        <w:jc w:val="left"/>
        <w:rPr>
          <w:rFonts w:ascii="Times New Roman" w:hAnsi="Times New Roman" w:cs="Times New Roman"/>
          <w:b/>
          <w:bCs/>
        </w:rPr>
      </w:pPr>
      <w:bookmarkStart w:id="8" w:name="_Toc988896"/>
      <w:r w:rsidRPr="00C82BDB">
        <w:rPr>
          <w:rFonts w:ascii="Times New Roman" w:hAnsi="Times New Roman" w:cs="Times New Roman"/>
          <w:b/>
          <w:bCs/>
        </w:rPr>
        <w:t>6</w:t>
      </w:r>
      <w:r w:rsidRPr="00C82BDB">
        <w:rPr>
          <w:rFonts w:ascii="Times New Roman" w:hAnsi="Times New Roman" w:cs="Times New Roman"/>
          <w:b/>
          <w:bCs/>
        </w:rPr>
        <w:t>、在半年度报告批准报出日存续的债券情况</w:t>
      </w:r>
      <w:bookmarkEnd w:id="8"/>
    </w:p>
    <w:p w:rsidR="00776D99" w:rsidRPr="00C82BDB" w:rsidRDefault="00584C87" w:rsidP="00064EAA">
      <w:pPr>
        <w:spacing w:line="240" w:lineRule="exact"/>
        <w:rPr>
          <w:rFonts w:asciiTheme="minorEastAsia" w:hAnsiTheme="minorEastAsia" w:cs="Times New Roman"/>
          <w:sz w:val="18"/>
          <w:szCs w:val="18"/>
        </w:rPr>
      </w:pPr>
      <w:r w:rsidRPr="00C82BDB">
        <w:rPr>
          <w:rFonts w:asciiTheme="minorEastAsia" w:hAnsiTheme="minorEastAsia" w:cs="Times New Roman"/>
          <w:sz w:val="18"/>
          <w:szCs w:val="18"/>
        </w:rPr>
        <w:t xml:space="preserve">□适用 </w:t>
      </w:r>
      <w:r w:rsidRPr="00C82BDB">
        <w:rPr>
          <w:rFonts w:asciiTheme="minorEastAsia" w:hAnsiTheme="minorEastAsia" w:cs="Times New Roman"/>
          <w:sz w:val="18"/>
          <w:szCs w:val="18"/>
        </w:rPr>
        <w:sym w:font="Wingdings 2" w:char="F052"/>
      </w:r>
      <w:r w:rsidRPr="00C82BDB">
        <w:rPr>
          <w:rFonts w:asciiTheme="minorEastAsia" w:hAnsiTheme="minorEastAsia" w:cs="Times New Roman"/>
          <w:sz w:val="18"/>
          <w:szCs w:val="18"/>
        </w:rPr>
        <w:t>不适用</w:t>
      </w:r>
    </w:p>
    <w:p w:rsidR="00776D99" w:rsidRPr="00C82BDB" w:rsidRDefault="00584C87">
      <w:pPr>
        <w:pStyle w:val="2"/>
        <w:spacing w:before="300" w:after="300" w:line="32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9" w:name="_Toc988897"/>
      <w:r w:rsidRPr="00C82BDB">
        <w:rPr>
          <w:rFonts w:ascii="Times New Roman" w:eastAsia="宋体" w:hAnsi="Times New Roman" w:cs="Times New Roman"/>
          <w:b/>
          <w:bCs/>
          <w:sz w:val="24"/>
          <w:szCs w:val="24"/>
        </w:rPr>
        <w:t>三、重要事项</w:t>
      </w:r>
      <w:bookmarkEnd w:id="9"/>
    </w:p>
    <w:p w:rsidR="006167A0" w:rsidRPr="00C82BDB" w:rsidRDefault="006167A0" w:rsidP="006167A0">
      <w:pPr>
        <w:autoSpaceDE w:val="0"/>
        <w:autoSpaceDN w:val="0"/>
        <w:adjustRightInd w:val="0"/>
        <w:spacing w:before="40" w:after="40"/>
        <w:ind w:firstLineChars="200" w:firstLine="361"/>
        <w:jc w:val="both"/>
        <w:divId w:val="1666400374"/>
        <w:rPr>
          <w:rFonts w:ascii="Times New Roman" w:hAnsi="Times New Roman" w:cs="Times New Roman"/>
          <w:b/>
          <w:kern w:val="0"/>
          <w:sz w:val="18"/>
          <w:szCs w:val="24"/>
          <w:lang w:val="zh-CN"/>
        </w:rPr>
      </w:pPr>
      <w:r w:rsidRPr="00C82BDB">
        <w:rPr>
          <w:rFonts w:ascii="Times New Roman" w:hAnsi="Times New Roman" w:cs="Times New Roman"/>
          <w:b/>
          <w:kern w:val="0"/>
          <w:sz w:val="18"/>
          <w:szCs w:val="24"/>
          <w:lang w:val="zh-CN"/>
        </w:rPr>
        <w:t>1</w:t>
      </w:r>
      <w:r w:rsidRPr="00C82BDB">
        <w:rPr>
          <w:rFonts w:ascii="Times New Roman" w:hAnsi="Times New Roman" w:cs="Times New Roman" w:hint="eastAsia"/>
          <w:b/>
          <w:kern w:val="0"/>
          <w:sz w:val="18"/>
          <w:szCs w:val="24"/>
          <w:lang w:val="zh-CN"/>
        </w:rPr>
        <w:t>、出售御景酒店股权，聚焦制浆造纸主业发展</w:t>
      </w:r>
    </w:p>
    <w:p w:rsidR="006167A0" w:rsidRPr="00C82BDB" w:rsidRDefault="006167A0" w:rsidP="006167A0">
      <w:pPr>
        <w:autoSpaceDE w:val="0"/>
        <w:autoSpaceDN w:val="0"/>
        <w:adjustRightInd w:val="0"/>
        <w:spacing w:before="40" w:after="40"/>
        <w:ind w:firstLineChars="200" w:firstLine="360"/>
        <w:jc w:val="both"/>
        <w:divId w:val="1666400374"/>
        <w:rPr>
          <w:rFonts w:ascii="Times New Roman" w:hAnsi="Times New Roman" w:cs="Times New Roman"/>
          <w:kern w:val="0"/>
          <w:sz w:val="18"/>
          <w:szCs w:val="24"/>
          <w:lang w:val="zh-CN"/>
        </w:rPr>
      </w:pP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为进一步聚焦制浆造纸主业发展，剥离非主业资产，持续优化资产结构，提升资产质量，增加现金流入，增强公司盈利能力，公司将其持有的山东御景大酒店有限公司（以下简称“御景酒店”）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90.05%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股权及对御景酒店享有的共计人民币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19,350.72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万元的债权以人民币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35,650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万元转让给关联方寿光</w:t>
      </w:r>
      <w:proofErr w:type="gramStart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晨鸣广源地</w:t>
      </w:r>
      <w:proofErr w:type="gramEnd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产有限公司，定价依据为天</w:t>
      </w:r>
      <w:proofErr w:type="gramStart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昊</w:t>
      </w:r>
      <w:proofErr w:type="gramEnd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国际房地产土地资产评估集团有限公司出具的基准日为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2023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年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12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月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31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日的《资产评估报告》（天</w:t>
      </w:r>
      <w:proofErr w:type="gramStart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昊</w:t>
      </w:r>
      <w:proofErr w:type="gramEnd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资评报字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 xml:space="preserve">[2024] J 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第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 xml:space="preserve"> 0004 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号）。本次交易完成后，公司不再持有御景酒店的股权。</w:t>
      </w:r>
    </w:p>
    <w:p w:rsidR="00A81FC8" w:rsidRPr="00C82BDB" w:rsidRDefault="006167A0" w:rsidP="006167A0">
      <w:pPr>
        <w:autoSpaceDE w:val="0"/>
        <w:autoSpaceDN w:val="0"/>
        <w:adjustRightInd w:val="0"/>
        <w:spacing w:before="40" w:after="40"/>
        <w:ind w:firstLineChars="200" w:firstLine="360"/>
        <w:jc w:val="both"/>
        <w:divId w:val="1666400374"/>
        <w:rPr>
          <w:rFonts w:ascii="Times New Roman" w:hAnsi="Times New Roman" w:cs="Times New Roman"/>
          <w:kern w:val="0"/>
          <w:sz w:val="18"/>
          <w:szCs w:val="24"/>
          <w:lang w:val="zh-CN"/>
        </w:rPr>
      </w:pP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详情请参阅公司于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2024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年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3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月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2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3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日在巨潮资讯网上披露的相关公告（公告编号为：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202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4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-0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08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）及于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2024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年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3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月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24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日在香港联交所网站上披露的</w:t>
      </w:r>
      <w:proofErr w:type="gramStart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关连</w:t>
      </w:r>
      <w:proofErr w:type="gramEnd"/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交易</w:t>
      </w:r>
      <w:r w:rsidRPr="00C82BDB">
        <w:rPr>
          <w:rFonts w:ascii="Times New Roman" w:hAnsi="Times New Roman" w:cs="Times New Roman"/>
          <w:kern w:val="0"/>
          <w:sz w:val="18"/>
          <w:szCs w:val="24"/>
          <w:lang w:val="zh-CN"/>
        </w:rPr>
        <w:t>公告</w:t>
      </w:r>
      <w:r w:rsidRPr="00C82BDB">
        <w:rPr>
          <w:rFonts w:ascii="Times New Roman" w:hAnsi="Times New Roman" w:cs="Times New Roman" w:hint="eastAsia"/>
          <w:kern w:val="0"/>
          <w:sz w:val="18"/>
          <w:szCs w:val="24"/>
          <w:lang w:val="zh-CN"/>
        </w:rPr>
        <w:t>。</w:t>
      </w:r>
    </w:p>
    <w:p w:rsidR="006167A0" w:rsidRPr="00C82BDB" w:rsidRDefault="006167A0" w:rsidP="006167A0">
      <w:pPr>
        <w:pStyle w:val="a3"/>
        <w:spacing w:before="40" w:beforeAutospacing="0" w:after="40" w:afterAutospacing="0"/>
        <w:ind w:firstLine="360"/>
        <w:jc w:val="right"/>
        <w:divId w:val="1666400374"/>
        <w:rPr>
          <w:rFonts w:ascii="Times New Roman" w:hAnsi="Times New Roman" w:cs="Times New Roman"/>
          <w:sz w:val="18"/>
          <w:szCs w:val="18"/>
        </w:rPr>
      </w:pPr>
    </w:p>
    <w:p w:rsidR="00D53252" w:rsidRPr="00C82BDB" w:rsidRDefault="00D53252" w:rsidP="006167A0">
      <w:pPr>
        <w:pStyle w:val="a3"/>
        <w:spacing w:before="40" w:beforeAutospacing="0" w:after="40" w:afterAutospacing="0"/>
        <w:ind w:firstLine="360"/>
        <w:jc w:val="right"/>
        <w:divId w:val="1666400374"/>
        <w:rPr>
          <w:rFonts w:ascii="Times New Roman" w:hAnsi="Times New Roman" w:cs="Times New Roman"/>
          <w:sz w:val="18"/>
          <w:szCs w:val="18"/>
        </w:rPr>
      </w:pPr>
    </w:p>
    <w:p w:rsidR="00D53252" w:rsidRPr="00C82BDB" w:rsidRDefault="00D53252" w:rsidP="006167A0">
      <w:pPr>
        <w:pStyle w:val="a3"/>
        <w:spacing w:before="40" w:beforeAutospacing="0" w:after="40" w:afterAutospacing="0"/>
        <w:ind w:firstLine="360"/>
        <w:jc w:val="right"/>
        <w:divId w:val="1666400374"/>
        <w:rPr>
          <w:rFonts w:ascii="Times New Roman" w:hAnsi="Times New Roman" w:cs="Times New Roman"/>
          <w:sz w:val="18"/>
          <w:szCs w:val="18"/>
        </w:rPr>
      </w:pPr>
    </w:p>
    <w:p w:rsidR="006167A0" w:rsidRPr="00C82BDB" w:rsidRDefault="006167A0" w:rsidP="006167A0">
      <w:pPr>
        <w:pStyle w:val="a3"/>
        <w:spacing w:before="40" w:beforeAutospacing="0" w:after="40" w:afterAutospacing="0"/>
        <w:ind w:firstLine="360"/>
        <w:jc w:val="right"/>
        <w:divId w:val="1666400374"/>
        <w:rPr>
          <w:rFonts w:ascii="Times New Roman" w:hAnsi="Times New Roman" w:cs="Times New Roman"/>
          <w:sz w:val="18"/>
          <w:szCs w:val="18"/>
        </w:rPr>
      </w:pPr>
      <w:r w:rsidRPr="00C82BDB">
        <w:rPr>
          <w:rFonts w:ascii="Times New Roman" w:hAnsi="Times New Roman" w:cs="Times New Roman" w:hint="eastAsia"/>
          <w:sz w:val="18"/>
          <w:szCs w:val="18"/>
        </w:rPr>
        <w:t>山东晨鸣纸业集团股份有限公司董事会</w:t>
      </w:r>
    </w:p>
    <w:p w:rsidR="006167A0" w:rsidRPr="00C82BDB" w:rsidRDefault="006167A0" w:rsidP="006167A0">
      <w:pPr>
        <w:pStyle w:val="a3"/>
        <w:spacing w:before="40" w:beforeAutospacing="0" w:after="40" w:afterAutospacing="0"/>
        <w:ind w:right="360" w:firstLine="360"/>
        <w:jc w:val="center"/>
        <w:divId w:val="1666400374"/>
        <w:rPr>
          <w:rFonts w:ascii="Times New Roman" w:hAnsi="Times New Roman" w:cs="Times New Roman"/>
          <w:sz w:val="18"/>
          <w:szCs w:val="18"/>
        </w:rPr>
      </w:pPr>
      <w:r w:rsidRPr="00C82B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82BDB">
        <w:rPr>
          <w:rFonts w:ascii="Times New Roman" w:hAnsi="Times New Roman" w:cs="Times New Roman" w:hint="eastAsia"/>
          <w:sz w:val="18"/>
          <w:szCs w:val="18"/>
        </w:rPr>
        <w:t>二〇二四年八月十四日</w:t>
      </w:r>
    </w:p>
    <w:p w:rsidR="006167A0" w:rsidRPr="00C82BDB" w:rsidRDefault="006167A0" w:rsidP="006167A0">
      <w:pPr>
        <w:spacing w:line="240" w:lineRule="exact"/>
        <w:divId w:val="1666400374"/>
        <w:rPr>
          <w:rFonts w:asciiTheme="minorEastAsia" w:hAnsiTheme="minorEastAsia" w:cs="Times New Roman"/>
          <w:sz w:val="18"/>
          <w:szCs w:val="18"/>
        </w:rPr>
      </w:pPr>
    </w:p>
    <w:sectPr w:rsidR="006167A0" w:rsidRPr="00C82BDB">
      <w:headerReference w:type="default" r:id="rId7"/>
      <w:footerReference w:type="default" r:id="rId8"/>
      <w:pgSz w:w="11905" w:h="16840"/>
      <w:pgMar w:top="1440" w:right="1134" w:bottom="1440" w:left="1134" w:header="850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30" w:rsidRDefault="00E57330">
      <w:r>
        <w:separator/>
      </w:r>
    </w:p>
  </w:endnote>
  <w:endnote w:type="continuationSeparator" w:id="0">
    <w:p w:rsidR="00E57330" w:rsidRDefault="00E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99" w:rsidRDefault="00584C87">
    <w:pPr>
      <w:pStyle w:val="fotter1"/>
    </w:pPr>
    <w:r>
      <w:fldChar w:fldCharType="begin"/>
    </w:r>
    <w:r>
      <w:instrText>PAGE   \* MERGEFORMAT</w:instrText>
    </w:r>
    <w:r>
      <w:fldChar w:fldCharType="separate"/>
    </w:r>
    <w:r w:rsidR="00FA0B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30" w:rsidRDefault="00E57330">
      <w:r>
        <w:separator/>
      </w:r>
    </w:p>
  </w:footnote>
  <w:footnote w:type="continuationSeparator" w:id="0">
    <w:p w:rsidR="00E57330" w:rsidRDefault="00E5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99" w:rsidRDefault="00584C87">
    <w:pPr>
      <w:pStyle w:val="Header1"/>
      <w:pBdr>
        <w:bottom w:val="single" w:sz="6" w:space="1" w:color="auto"/>
      </w:pBdr>
    </w:pPr>
    <w:r>
      <w:t>山东晨鸣纸业集团股份有限公司2024年半年度报告摘要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6D99"/>
    <w:rsid w:val="0002741D"/>
    <w:rsid w:val="00064EAA"/>
    <w:rsid w:val="000E6006"/>
    <w:rsid w:val="00161842"/>
    <w:rsid w:val="001B6A7B"/>
    <w:rsid w:val="0029360D"/>
    <w:rsid w:val="0047527D"/>
    <w:rsid w:val="004D0C20"/>
    <w:rsid w:val="00584C87"/>
    <w:rsid w:val="0060303B"/>
    <w:rsid w:val="006167A0"/>
    <w:rsid w:val="00696F85"/>
    <w:rsid w:val="00727F26"/>
    <w:rsid w:val="00776D99"/>
    <w:rsid w:val="00800956"/>
    <w:rsid w:val="008402E9"/>
    <w:rsid w:val="00A81FC8"/>
    <w:rsid w:val="00B70915"/>
    <w:rsid w:val="00B94AF9"/>
    <w:rsid w:val="00C82BDB"/>
    <w:rsid w:val="00D53252"/>
    <w:rsid w:val="00D71C59"/>
    <w:rsid w:val="00DC5C1F"/>
    <w:rsid w:val="00E13BEC"/>
    <w:rsid w:val="00E57330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right"/>
    </w:pPr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93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36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36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360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82B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2B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right"/>
    </w:pPr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93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36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36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360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82B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2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486</Words>
  <Characters>2772</Characters>
  <Application>Microsoft Office Word</Application>
  <DocSecurity>0</DocSecurity>
  <Lines>23</Lines>
  <Paragraphs>6</Paragraphs>
  <ScaleCrop>false</ScaleCrop>
  <Company>Microsoft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ZXT</cp:lastModifiedBy>
  <cp:revision>17</cp:revision>
  <cp:lastPrinted>2024-08-13T00:45:00Z</cp:lastPrinted>
  <dcterms:created xsi:type="dcterms:W3CDTF">2024-07-24T00:53:00Z</dcterms:created>
  <dcterms:modified xsi:type="dcterms:W3CDTF">2024-08-13T01:05:00Z</dcterms:modified>
</cp:coreProperties>
</file>