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6516F">
      <w:pPr>
        <w:spacing w:before="156" w:beforeLines="50" w:after="156" w:afterLines="50" w:line="400" w:lineRule="exact"/>
        <w:rPr>
          <w:rFonts w:asci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>000488</w:t>
      </w:r>
      <w:r>
        <w:rPr>
          <w:rFonts w:hAnsi="宋体"/>
          <w:bCs/>
          <w:iCs/>
          <w:color w:val="000000"/>
          <w:sz w:val="24"/>
        </w:rPr>
        <w:t>、</w:t>
      </w:r>
      <w:r>
        <w:rPr>
          <w:bCs/>
          <w:iCs/>
          <w:color w:val="000000"/>
          <w:sz w:val="24"/>
        </w:rPr>
        <w:t xml:space="preserve">200488  </w:t>
      </w:r>
      <w:r>
        <w:rPr>
          <w:rFonts w:ascii="宋体" w:hAnsi="宋体"/>
          <w:bCs/>
          <w:iCs/>
          <w:color w:val="000000"/>
          <w:sz w:val="24"/>
        </w:rPr>
        <w:t xml:space="preserve">                </w:t>
      </w:r>
      <w:r>
        <w:rPr>
          <w:rFonts w:hint="eastAsia" w:ascii="宋体" w:hAnsi="宋体"/>
          <w:bCs/>
          <w:iCs/>
          <w:color w:val="000000"/>
          <w:sz w:val="24"/>
        </w:rPr>
        <w:t>证券简称：</w:t>
      </w:r>
      <w:r>
        <w:rPr>
          <w:rFonts w:hint="default" w:ascii="Times New Roman" w:hAnsi="Times New Roman"/>
          <w:bCs/>
          <w:iCs/>
          <w:color w:val="000000"/>
          <w:sz w:val="24"/>
        </w:rPr>
        <w:t>ST晨鸣、ST</w:t>
      </w:r>
      <w:r>
        <w:rPr>
          <w:rFonts w:hint="eastAsia" w:ascii="宋体" w:hAnsi="宋体"/>
          <w:bCs/>
          <w:iCs/>
          <w:color w:val="000000"/>
          <w:sz w:val="24"/>
        </w:rPr>
        <w:t>晨鸣</w:t>
      </w:r>
      <w:r>
        <w:rPr>
          <w:bCs/>
          <w:iCs/>
          <w:color w:val="000000"/>
          <w:sz w:val="24"/>
        </w:rPr>
        <w:t>B</w:t>
      </w:r>
    </w:p>
    <w:p w14:paraId="573C99C3">
      <w:pPr>
        <w:spacing w:before="312" w:beforeLines="100" w:after="156" w:afterLines="50" w:line="400" w:lineRule="exact"/>
        <w:jc w:val="center"/>
        <w:rPr>
          <w:rFonts w:asci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山东晨鸣纸业集团股份有限公司</w:t>
      </w:r>
    </w:p>
    <w:p w14:paraId="5118EC3D">
      <w:pPr>
        <w:spacing w:before="312" w:beforeLines="100" w:after="156" w:afterLines="50" w:line="400" w:lineRule="exact"/>
        <w:jc w:val="center"/>
        <w:rPr>
          <w:rFonts w:asci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6D1FF2C9">
      <w:pPr>
        <w:spacing w:line="400" w:lineRule="exact"/>
        <w:rPr>
          <w:rFonts w:ascii="宋体"/>
          <w:bCs/>
          <w:iCs/>
          <w:color w:val="000000"/>
          <w:sz w:val="24"/>
        </w:rPr>
      </w:pPr>
      <w:r>
        <w:rPr>
          <w:rFonts w:ascii="宋体" w:hAnsi="宋体"/>
          <w:bCs/>
          <w:iCs/>
          <w:color w:val="000000"/>
          <w:sz w:val="24"/>
        </w:rPr>
        <w:t xml:space="preserve">                                                        </w:t>
      </w:r>
      <w:r>
        <w:rPr>
          <w:rFonts w:hint="eastAsia" w:ascii="宋体" w:hAnsi="宋体"/>
          <w:bCs/>
          <w:iCs/>
          <w:color w:val="000000"/>
          <w:sz w:val="24"/>
        </w:rPr>
        <w:t>编号：</w:t>
      </w:r>
      <w:r>
        <w:rPr>
          <w:bCs/>
          <w:iCs/>
          <w:color w:val="000000"/>
          <w:sz w:val="24"/>
        </w:rPr>
        <w:t>202</w:t>
      </w:r>
      <w:r>
        <w:rPr>
          <w:rFonts w:hint="eastAsia"/>
          <w:bCs/>
          <w:iCs/>
          <w:color w:val="000000"/>
          <w:sz w:val="24"/>
        </w:rPr>
        <w:t>5</w:t>
      </w:r>
      <w:r>
        <w:rPr>
          <w:bCs/>
          <w:iCs/>
          <w:color w:val="000000"/>
          <w:sz w:val="24"/>
        </w:rPr>
        <w:t>-00</w:t>
      </w:r>
      <w:r>
        <w:rPr>
          <w:rFonts w:hint="eastAsia"/>
          <w:bCs/>
          <w:iCs/>
          <w:color w:val="000000"/>
          <w:sz w:val="24"/>
        </w:rPr>
        <w:t>3</w:t>
      </w:r>
    </w:p>
    <w:tbl>
      <w:tblPr>
        <w:tblStyle w:val="9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6683"/>
      </w:tblGrid>
      <w:tr w14:paraId="673E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341" w:type="dxa"/>
            <w:vAlign w:val="center"/>
          </w:tcPr>
          <w:p w14:paraId="3E8545AF">
            <w:pPr>
              <w:spacing w:line="380" w:lineRule="exact"/>
              <w:jc w:val="lef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83" w:type="dxa"/>
          </w:tcPr>
          <w:p w14:paraId="4E4A8563">
            <w:pPr>
              <w:spacing w:line="440" w:lineRule="exac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☑</w:t>
            </w:r>
            <w:r>
              <w:rPr>
                <w:rFonts w:hint="eastAsia" w:ascii="宋体" w:hAnsi="宋体"/>
                <w:sz w:val="24"/>
              </w:rPr>
              <w:t>特定对象调研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分析师会议</w:t>
            </w:r>
          </w:p>
          <w:p w14:paraId="4FE65E52">
            <w:pPr>
              <w:spacing w:line="440" w:lineRule="exac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媒体采访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业绩说明会</w:t>
            </w:r>
          </w:p>
          <w:p w14:paraId="5D151189">
            <w:pPr>
              <w:spacing w:line="440" w:lineRule="exac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新闻发布会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路演活动</w:t>
            </w:r>
          </w:p>
          <w:p w14:paraId="1FB163C8">
            <w:pPr>
              <w:tabs>
                <w:tab w:val="center" w:pos="3199"/>
              </w:tabs>
              <w:spacing w:line="440" w:lineRule="exac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现场参观</w:t>
            </w:r>
            <w:r>
              <w:rPr>
                <w:rFonts w:ascii="宋体"/>
                <w:bCs/>
                <w:iCs/>
                <w:color w:val="000000"/>
                <w:sz w:val="24"/>
              </w:rPr>
              <w:tab/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     □电话会议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79FF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41" w:type="dxa"/>
            <w:vAlign w:val="center"/>
          </w:tcPr>
          <w:p w14:paraId="1935C6CC">
            <w:pPr>
              <w:spacing w:line="380" w:lineRule="exact"/>
              <w:jc w:val="left"/>
              <w:rPr>
                <w:rFonts w:asci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6683" w:type="dxa"/>
            <w:vAlign w:val="center"/>
          </w:tcPr>
          <w:p w14:paraId="6C4E6FE5">
            <w:pPr>
              <w:spacing w:line="44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国海证券、民生加银基金、华泰柏瑞基金</w:t>
            </w:r>
          </w:p>
        </w:tc>
      </w:tr>
      <w:tr w14:paraId="7B82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41" w:type="dxa"/>
            <w:vAlign w:val="center"/>
          </w:tcPr>
          <w:p w14:paraId="37F19B4C">
            <w:pPr>
              <w:spacing w:line="380" w:lineRule="exact"/>
              <w:jc w:val="lef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83" w:type="dxa"/>
            <w:vAlign w:val="center"/>
          </w:tcPr>
          <w:p w14:paraId="32732DA7">
            <w:pPr>
              <w:spacing w:line="44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15</w:t>
            </w:r>
            <w:r>
              <w:rPr>
                <w:bCs/>
                <w:iCs/>
                <w:color w:val="000000"/>
                <w:sz w:val="24"/>
              </w:rPr>
              <w:t>日15:00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-</w:t>
            </w:r>
            <w:r>
              <w:rPr>
                <w:bCs/>
                <w:iCs/>
                <w:color w:val="000000"/>
                <w:sz w:val="24"/>
              </w:rPr>
              <w:t>16: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0</w:t>
            </w:r>
          </w:p>
        </w:tc>
      </w:tr>
      <w:tr w14:paraId="2A48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41" w:type="dxa"/>
            <w:vAlign w:val="center"/>
          </w:tcPr>
          <w:p w14:paraId="7E16F02F">
            <w:pPr>
              <w:spacing w:line="380" w:lineRule="exact"/>
              <w:jc w:val="lef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83" w:type="dxa"/>
            <w:vAlign w:val="center"/>
          </w:tcPr>
          <w:p w14:paraId="1824077E">
            <w:pPr>
              <w:spacing w:line="44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公司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909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会议室</w:t>
            </w:r>
          </w:p>
        </w:tc>
      </w:tr>
      <w:tr w14:paraId="6F3F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41" w:type="dxa"/>
            <w:vAlign w:val="center"/>
          </w:tcPr>
          <w:p w14:paraId="0C0EBEB7">
            <w:pPr>
              <w:spacing w:line="380" w:lineRule="exact"/>
              <w:jc w:val="lef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形式</w:t>
            </w:r>
          </w:p>
        </w:tc>
        <w:tc>
          <w:tcPr>
            <w:tcW w:w="6683" w:type="dxa"/>
            <w:vAlign w:val="center"/>
          </w:tcPr>
          <w:p w14:paraId="391BAE6D"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现场访谈</w:t>
            </w:r>
          </w:p>
        </w:tc>
      </w:tr>
      <w:tr w14:paraId="63BE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341" w:type="dxa"/>
            <w:vAlign w:val="center"/>
          </w:tcPr>
          <w:p w14:paraId="076A9925">
            <w:pPr>
              <w:spacing w:line="380" w:lineRule="exact"/>
              <w:jc w:val="lef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上市公司接待人员</w:t>
            </w:r>
          </w:p>
        </w:tc>
        <w:tc>
          <w:tcPr>
            <w:tcW w:w="6683" w:type="dxa"/>
            <w:vAlign w:val="center"/>
          </w:tcPr>
          <w:p w14:paraId="432EAB6B"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董事会秘书：袁西坤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086764C0">
            <w:pPr>
              <w:spacing w:line="44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证券事务经理：邱国涛</w:t>
            </w:r>
          </w:p>
        </w:tc>
      </w:tr>
      <w:tr w14:paraId="3169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2341" w:type="dxa"/>
            <w:vAlign w:val="center"/>
          </w:tcPr>
          <w:p w14:paraId="503A8DCA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交流内容及具体问答记录</w:t>
            </w:r>
          </w:p>
        </w:tc>
        <w:tc>
          <w:tcPr>
            <w:tcW w:w="6683" w:type="dxa"/>
          </w:tcPr>
          <w:p w14:paraId="4AB8FF09">
            <w:pPr>
              <w:spacing w:line="4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公司于202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日15:00</w:t>
            </w:r>
            <w:r>
              <w:rPr>
                <w:rFonts w:hint="eastAsia"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16: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0，</w:t>
            </w:r>
            <w:r>
              <w:rPr>
                <w:rFonts w:hint="eastAsia"/>
                <w:color w:val="000000"/>
                <w:sz w:val="24"/>
              </w:rPr>
              <w:t>在公司会议室接待特定对象调研</w:t>
            </w:r>
            <w:r>
              <w:rPr>
                <w:color w:val="000000"/>
                <w:sz w:val="24"/>
              </w:rPr>
              <w:t>，关注的主要问题如下：</w:t>
            </w:r>
          </w:p>
          <w:p w14:paraId="021A8F27">
            <w:pPr>
              <w:pStyle w:val="23"/>
              <w:spacing w:line="460" w:lineRule="exact"/>
              <w:ind w:firstLine="482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目前公司复工复产进展如何？</w:t>
            </w:r>
          </w:p>
          <w:p w14:paraId="537D60F2">
            <w:pPr>
              <w:pStyle w:val="23"/>
              <w:spacing w:line="460" w:lineRule="exact"/>
              <w:ind w:left="-2" w:leftChars="-1" w:firstLine="48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回复：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公司有寿光、湛江、黄冈、江西和吉林五大生产基地，</w:t>
            </w:r>
            <w:r>
              <w:rPr>
                <w:rFonts w:ascii="宋体" w:hAnsi="宋体"/>
                <w:sz w:val="24"/>
                <w:szCs w:val="24"/>
              </w:rPr>
              <w:t>目前寿光基地已全</w:t>
            </w:r>
            <w:r>
              <w:rPr>
                <w:rFonts w:hint="eastAsia" w:ascii="宋体" w:hAnsi="宋体"/>
                <w:sz w:val="24"/>
                <w:szCs w:val="24"/>
              </w:rPr>
              <w:t>面复工复产</w:t>
            </w:r>
            <w:r>
              <w:rPr>
                <w:rFonts w:ascii="宋体" w:hAnsi="宋体"/>
                <w:sz w:val="24"/>
                <w:szCs w:val="24"/>
              </w:rPr>
              <w:t>，黄冈基地、江西基地二厂正常生产。江西基地一厂、吉林基地、湛江基地当前仍在停机检修，争取尽快恢复生产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34160D5C">
            <w:pPr>
              <w:pStyle w:val="23"/>
              <w:spacing w:line="460" w:lineRule="exact"/>
              <w:ind w:left="-2" w:leftChars="-1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2、复工复产所需资金落实情况</w:t>
            </w:r>
          </w:p>
          <w:p w14:paraId="792D423A">
            <w:pPr>
              <w:pStyle w:val="23"/>
              <w:spacing w:line="460" w:lineRule="exact"/>
              <w:ind w:left="-2" w:leftChars="-1" w:firstLine="482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回复：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市县两级政府平台成立的专门用于救助公司的潍坊</w:t>
            </w:r>
            <w:r>
              <w:rPr>
                <w:rFonts w:hint="default" w:ascii="Times New Roman" w:hAnsi="Times New Roman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兴晨经贸有限公司资本金10亿元已全部到位，同时银团贷款23.1亿元已完成批复，且第一笔贷款已发放，</w:t>
            </w:r>
            <w:r>
              <w:rPr>
                <w:rFonts w:hint="default" w:ascii="Times New Roman" w:hAnsi="Times New Roman"/>
                <w:sz w:val="24"/>
                <w:szCs w:val="24"/>
              </w:rPr>
              <w:t>根据各工厂生产情况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落实</w:t>
            </w:r>
            <w:r>
              <w:rPr>
                <w:rFonts w:hint="default" w:ascii="Times New Roman" w:hAnsi="Times New Roman"/>
                <w:sz w:val="24"/>
                <w:szCs w:val="24"/>
              </w:rPr>
              <w:t>后续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</w:rPr>
              <w:t>提款。</w:t>
            </w:r>
          </w:p>
          <w:p w14:paraId="45F2EB5F">
            <w:pPr>
              <w:pStyle w:val="23"/>
              <w:spacing w:line="460" w:lineRule="exact"/>
              <w:ind w:firstLine="482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政府提供的支持和帮助有哪些</w:t>
            </w:r>
            <w:r>
              <w:rPr>
                <w:rFonts w:ascii="宋体" w:hAnsi="宋体"/>
                <w:b/>
                <w:sz w:val="24"/>
                <w:szCs w:val="24"/>
              </w:rPr>
              <w:t>？</w:t>
            </w:r>
          </w:p>
          <w:p w14:paraId="133C7115">
            <w:pPr>
              <w:pStyle w:val="23"/>
              <w:spacing w:line="460" w:lineRule="exact"/>
              <w:ind w:left="-2" w:leftChars="-1" w:firstLine="482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回复：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地方政府第一时间成立工作专班，从推动复工复产、成立债委会、银团贷款投放、资产处置等方面统筹制定了一揽子工作方案。</w:t>
            </w:r>
            <w:r>
              <w:rPr>
                <w:rFonts w:hint="eastAsia" w:ascii="宋体" w:hAnsi="宋体" w:cs="宋体"/>
                <w:sz w:val="24"/>
                <w:szCs w:val="24"/>
              </w:rPr>
              <w:t>具体包括：协调金融机构成立省级债委会，约定维持存量授信稳定，对到期业务应续尽续，不抽贷、不压贷，并给予展期、降息、延长结息周期等支持；协调组建银团新增贷款</w:t>
            </w:r>
            <w:r>
              <w:rPr>
                <w:rFonts w:ascii="Times New Roman" w:hAnsi="Times New Roman"/>
                <w:sz w:val="24"/>
                <w:szCs w:val="24"/>
              </w:rPr>
              <w:t>23.1</w:t>
            </w:r>
            <w:r>
              <w:rPr>
                <w:rFonts w:hint="eastAsia" w:ascii="宋体" w:hAnsi="宋体" w:cs="宋体"/>
                <w:sz w:val="24"/>
                <w:szCs w:val="24"/>
              </w:rPr>
              <w:t>亿元专项用于复工复产等。</w:t>
            </w:r>
          </w:p>
          <w:p w14:paraId="7572EB9D">
            <w:pPr>
              <w:pStyle w:val="23"/>
              <w:spacing w:line="460" w:lineRule="exact"/>
              <w:ind w:firstLine="482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公司非主业资产的处置进度如何？</w:t>
            </w:r>
          </w:p>
          <w:p w14:paraId="23A1A542">
            <w:pPr>
              <w:pStyle w:val="23"/>
              <w:spacing w:line="460" w:lineRule="exact"/>
              <w:ind w:left="-2" w:leftChars="-1" w:firstLine="48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回复：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全力以赴盘活处置现有资产，加大非主业资产的处置力度，组建资产管理中心，提高资产处置效率；公司位于上海、济南、深圳等核心城市的物业资产处置均在加速推进中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14:paraId="2852C2B1">
            <w:pPr>
              <w:pStyle w:val="23"/>
              <w:spacing w:line="460" w:lineRule="exact"/>
              <w:ind w:firstLine="482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公司实施ST的原因有哪些，预计什么时间能摘帽？</w:t>
            </w:r>
          </w:p>
          <w:p w14:paraId="0A03B953">
            <w:pPr>
              <w:pStyle w:val="23"/>
              <w:spacing w:line="460" w:lineRule="exact"/>
              <w:ind w:left="-2" w:leftChars="-1" w:firstLine="482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回复：</w:t>
            </w:r>
            <w:r>
              <w:rPr>
                <w:rFonts w:ascii="宋体" w:hAnsi="宋体"/>
                <w:sz w:val="24"/>
                <w:szCs w:val="24"/>
              </w:rPr>
              <w:t>公司股票被实施其他风险警示的原因主要包括部分基地停工停产，以及年度财务报表审计报告、内部控制审计报告被出具非标意见等。待上述导致公司被实施风险警示的因素消除后，公司将按照相关规定及时向深交所申请撤销其他风险警示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4BE96165">
            <w:pPr>
              <w:pStyle w:val="23"/>
              <w:numPr>
                <w:ilvl w:val="0"/>
                <w:numId w:val="0"/>
              </w:numPr>
              <w:spacing w:line="460" w:lineRule="exact"/>
              <w:ind w:left="480" w:leftChars="0" w:firstLine="0" w:firstLineChars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6、公司如何解决目前的债务问题？</w:t>
            </w:r>
          </w:p>
          <w:p w14:paraId="14577B94">
            <w:pPr>
              <w:pStyle w:val="23"/>
              <w:spacing w:line="460" w:lineRule="exact"/>
              <w:ind w:firstLine="48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回复：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一是在债委会推动下，绝大多数金融机构已同意展期、降息，目前已降低财务费用约7亿元，下一步将继续与非金融机构洽谈展期、降息，进一步降低财务负担；二是加快处置非主业资产，回笼资金用于补充流动性；三是加大应收款项清收力度；四是依托复工复产后经营性净现金流，持续压缩债务规模。</w:t>
            </w:r>
          </w:p>
          <w:p w14:paraId="6C540AEA">
            <w:pPr>
              <w:pStyle w:val="23"/>
              <w:spacing w:line="460" w:lineRule="exact"/>
              <w:ind w:firstLine="482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是否考虑减少白卡纸产能？</w:t>
            </w:r>
          </w:p>
          <w:p w14:paraId="78466752">
            <w:pPr>
              <w:pStyle w:val="23"/>
              <w:spacing w:line="460" w:lineRule="exact"/>
              <w:ind w:left="-2" w:leftChars="-1" w:firstLine="482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回复：</w:t>
            </w:r>
            <w:r>
              <w:rPr>
                <w:rFonts w:hint="eastAsia" w:ascii="宋体" w:hAnsi="宋体"/>
                <w:sz w:val="24"/>
                <w:szCs w:val="24"/>
              </w:rPr>
              <w:t>公司目前共有三条白卡纸产线，江西二厂主要生产扑克卡，盈利稳定；寿光四厂计划生产高附加值的铜版卡、游戏卡、食品卡等，进一步提高盈利能力；湛江四厂待复工复产后，主要通过降低自制浆成本、提高生产效率等措施压降成本，提升盈利空间。</w:t>
            </w:r>
          </w:p>
          <w:p w14:paraId="3F8D63F2">
            <w:pPr>
              <w:pStyle w:val="23"/>
              <w:spacing w:line="460" w:lineRule="exact"/>
              <w:ind w:firstLine="482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如何看待行业未来发展</w:t>
            </w:r>
            <w:r>
              <w:rPr>
                <w:rFonts w:ascii="宋体" w:hAnsi="宋体"/>
                <w:b/>
                <w:sz w:val="24"/>
                <w:szCs w:val="24"/>
              </w:rPr>
              <w:t>？</w:t>
            </w:r>
          </w:p>
          <w:p w14:paraId="692B0A2E">
            <w:pPr>
              <w:pStyle w:val="23"/>
              <w:spacing w:line="460" w:lineRule="exact"/>
              <w:ind w:left="-2" w:leftChars="-1" w:firstLine="482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回复：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近年来，造纸行业新增产能集中投放，终端需求支撑减弱，市场供需矛盾凸显。中长期来看，在“双碳”战略目标深入推进和“反内卷”政策持续发力的双重驱动下，叠加国内大循环体系不断完善和内需市场逐步回暖，造纸行业景气度有望提升。在政策引导和市场机制的共同作用下，造纸行业落后产能将加速出清，供给侧将迎来深度调整，产能结构持续优化，市场集中度将进一步提升。与此同时，随着国家扩内需政策的持续发力，造纸行业需求侧改善预期增强，整体经营业绩有望逐步修复。</w:t>
            </w:r>
          </w:p>
          <w:p w14:paraId="399712D7">
            <w:pPr>
              <w:spacing w:line="440" w:lineRule="exact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在本次投资者接待过程中，</w:t>
            </w:r>
            <w:r>
              <w:rPr>
                <w:b/>
                <w:bCs/>
                <w:sz w:val="24"/>
              </w:rPr>
              <w:t>公司相关人员与参会的</w:t>
            </w:r>
            <w:r>
              <w:rPr>
                <w:rFonts w:hint="eastAsia"/>
                <w:b/>
                <w:bCs/>
                <w:sz w:val="24"/>
              </w:rPr>
              <w:t>研究员</w:t>
            </w:r>
            <w:r>
              <w:rPr>
                <w:b/>
                <w:bCs/>
                <w:sz w:val="24"/>
              </w:rPr>
              <w:t>进行了充分的沟通；公司严格按照《信</w:t>
            </w:r>
            <w:r>
              <w:rPr>
                <w:b/>
                <w:bCs/>
                <w:color w:val="000000"/>
                <w:sz w:val="24"/>
              </w:rPr>
              <w:t>息披露管理制度》等规定，保证信息披露的真实、准确、完整、及时、公平，没有出现未公开重大信息泄露等情况。</w:t>
            </w:r>
          </w:p>
        </w:tc>
      </w:tr>
      <w:tr w14:paraId="2DFB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41" w:type="dxa"/>
            <w:vAlign w:val="center"/>
          </w:tcPr>
          <w:p w14:paraId="1CE9C3C5">
            <w:pPr>
              <w:spacing w:line="42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关于本次活动是否涉及应披露重大信息的说明</w:t>
            </w:r>
          </w:p>
        </w:tc>
        <w:tc>
          <w:tcPr>
            <w:tcW w:w="6683" w:type="dxa"/>
            <w:vAlign w:val="center"/>
          </w:tcPr>
          <w:p w14:paraId="4429CE30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14:paraId="3660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Align w:val="center"/>
          </w:tcPr>
          <w:p w14:paraId="0F6F9DD0">
            <w:pPr>
              <w:spacing w:line="42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活动过程中所使用的演示文稿、提供的文档等附件（如有，可作为附件）</w:t>
            </w:r>
          </w:p>
        </w:tc>
        <w:tc>
          <w:tcPr>
            <w:tcW w:w="6683" w:type="dxa"/>
            <w:vAlign w:val="center"/>
          </w:tcPr>
          <w:p w14:paraId="3DF61328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</w:tbl>
    <w:p w14:paraId="76D56620">
      <w:pPr>
        <w:rPr>
          <w:rFonts w:ascii="宋体"/>
          <w:sz w:val="24"/>
        </w:rPr>
      </w:pPr>
    </w:p>
    <w:sectPr>
      <w:headerReference r:id="rId3" w:type="default"/>
      <w:pgSz w:w="11906" w:h="16838"/>
      <w:pgMar w:top="1418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74DC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lZmFkMTcxMjRlMjBkNWRmNTE1ZmE4YjQ5OWY0ODgifQ=="/>
  </w:docVars>
  <w:rsids>
    <w:rsidRoot w:val="00172A27"/>
    <w:rsid w:val="00000D13"/>
    <w:rsid w:val="00001C99"/>
    <w:rsid w:val="00002530"/>
    <w:rsid w:val="000030E1"/>
    <w:rsid w:val="00003937"/>
    <w:rsid w:val="00007CFF"/>
    <w:rsid w:val="00011796"/>
    <w:rsid w:val="00022611"/>
    <w:rsid w:val="000227AF"/>
    <w:rsid w:val="00022A7F"/>
    <w:rsid w:val="00036999"/>
    <w:rsid w:val="00043151"/>
    <w:rsid w:val="000446C1"/>
    <w:rsid w:val="00051231"/>
    <w:rsid w:val="00051986"/>
    <w:rsid w:val="00053396"/>
    <w:rsid w:val="00064379"/>
    <w:rsid w:val="00067F45"/>
    <w:rsid w:val="0007476B"/>
    <w:rsid w:val="00075649"/>
    <w:rsid w:val="00076AD3"/>
    <w:rsid w:val="0008109E"/>
    <w:rsid w:val="000830D7"/>
    <w:rsid w:val="00085D3B"/>
    <w:rsid w:val="000869A5"/>
    <w:rsid w:val="00087EA2"/>
    <w:rsid w:val="000A0821"/>
    <w:rsid w:val="000A0FC5"/>
    <w:rsid w:val="000A4616"/>
    <w:rsid w:val="000A7DCF"/>
    <w:rsid w:val="000B12F7"/>
    <w:rsid w:val="000B2870"/>
    <w:rsid w:val="000B5DE7"/>
    <w:rsid w:val="000D32F6"/>
    <w:rsid w:val="000D40EF"/>
    <w:rsid w:val="000E0029"/>
    <w:rsid w:val="000E0884"/>
    <w:rsid w:val="000E1135"/>
    <w:rsid w:val="000E6DE5"/>
    <w:rsid w:val="000E786A"/>
    <w:rsid w:val="000F2CEE"/>
    <w:rsid w:val="000F719C"/>
    <w:rsid w:val="00100974"/>
    <w:rsid w:val="00111571"/>
    <w:rsid w:val="001118C0"/>
    <w:rsid w:val="001122C0"/>
    <w:rsid w:val="00113660"/>
    <w:rsid w:val="00115960"/>
    <w:rsid w:val="00115B1C"/>
    <w:rsid w:val="0011736C"/>
    <w:rsid w:val="00120511"/>
    <w:rsid w:val="001207CE"/>
    <w:rsid w:val="00130464"/>
    <w:rsid w:val="0013238C"/>
    <w:rsid w:val="0013657B"/>
    <w:rsid w:val="0015027B"/>
    <w:rsid w:val="00150467"/>
    <w:rsid w:val="00167141"/>
    <w:rsid w:val="0016726C"/>
    <w:rsid w:val="00172A27"/>
    <w:rsid w:val="00173EF2"/>
    <w:rsid w:val="0017445F"/>
    <w:rsid w:val="00175027"/>
    <w:rsid w:val="00186411"/>
    <w:rsid w:val="00187F89"/>
    <w:rsid w:val="001A2373"/>
    <w:rsid w:val="001A5DC2"/>
    <w:rsid w:val="001B44FF"/>
    <w:rsid w:val="001B6F76"/>
    <w:rsid w:val="001B7A89"/>
    <w:rsid w:val="001C40AB"/>
    <w:rsid w:val="001C5308"/>
    <w:rsid w:val="001C5656"/>
    <w:rsid w:val="001C761E"/>
    <w:rsid w:val="001D410E"/>
    <w:rsid w:val="001D4E4D"/>
    <w:rsid w:val="001E393D"/>
    <w:rsid w:val="001F1317"/>
    <w:rsid w:val="001F4169"/>
    <w:rsid w:val="001F62C2"/>
    <w:rsid w:val="001F7440"/>
    <w:rsid w:val="00207CC5"/>
    <w:rsid w:val="00210B0D"/>
    <w:rsid w:val="00213DBB"/>
    <w:rsid w:val="00216864"/>
    <w:rsid w:val="00222158"/>
    <w:rsid w:val="00226A23"/>
    <w:rsid w:val="002304D5"/>
    <w:rsid w:val="00234032"/>
    <w:rsid w:val="00235712"/>
    <w:rsid w:val="00236D17"/>
    <w:rsid w:val="00252A88"/>
    <w:rsid w:val="00256FCF"/>
    <w:rsid w:val="0026027F"/>
    <w:rsid w:val="0026184B"/>
    <w:rsid w:val="002659A4"/>
    <w:rsid w:val="00271051"/>
    <w:rsid w:val="00271152"/>
    <w:rsid w:val="00276039"/>
    <w:rsid w:val="00276C63"/>
    <w:rsid w:val="00280934"/>
    <w:rsid w:val="002812E2"/>
    <w:rsid w:val="0028624A"/>
    <w:rsid w:val="00291B78"/>
    <w:rsid w:val="0029223D"/>
    <w:rsid w:val="0029330F"/>
    <w:rsid w:val="0029681A"/>
    <w:rsid w:val="00297B7C"/>
    <w:rsid w:val="002A3B25"/>
    <w:rsid w:val="002B3B69"/>
    <w:rsid w:val="002B4EDD"/>
    <w:rsid w:val="002C49D8"/>
    <w:rsid w:val="002C6030"/>
    <w:rsid w:val="002C6B96"/>
    <w:rsid w:val="002D1F37"/>
    <w:rsid w:val="002D5595"/>
    <w:rsid w:val="002E08D0"/>
    <w:rsid w:val="002E0EB4"/>
    <w:rsid w:val="002E18C5"/>
    <w:rsid w:val="002E2803"/>
    <w:rsid w:val="002E4AF0"/>
    <w:rsid w:val="002E675B"/>
    <w:rsid w:val="002E790F"/>
    <w:rsid w:val="002F02D8"/>
    <w:rsid w:val="002F4ADD"/>
    <w:rsid w:val="002F67F2"/>
    <w:rsid w:val="002F710B"/>
    <w:rsid w:val="00303812"/>
    <w:rsid w:val="00320080"/>
    <w:rsid w:val="00323826"/>
    <w:rsid w:val="00324831"/>
    <w:rsid w:val="00325BD0"/>
    <w:rsid w:val="003331D5"/>
    <w:rsid w:val="00335ADD"/>
    <w:rsid w:val="00335D4E"/>
    <w:rsid w:val="00337B71"/>
    <w:rsid w:val="00345F50"/>
    <w:rsid w:val="003462A2"/>
    <w:rsid w:val="00353ECF"/>
    <w:rsid w:val="00357948"/>
    <w:rsid w:val="00360615"/>
    <w:rsid w:val="00366DBC"/>
    <w:rsid w:val="00371196"/>
    <w:rsid w:val="0037643E"/>
    <w:rsid w:val="00376FF9"/>
    <w:rsid w:val="00380D3F"/>
    <w:rsid w:val="00382223"/>
    <w:rsid w:val="003826F6"/>
    <w:rsid w:val="003864BB"/>
    <w:rsid w:val="00391588"/>
    <w:rsid w:val="003A1430"/>
    <w:rsid w:val="003A16F5"/>
    <w:rsid w:val="003A1CFB"/>
    <w:rsid w:val="003A5432"/>
    <w:rsid w:val="003B0096"/>
    <w:rsid w:val="003B2612"/>
    <w:rsid w:val="003B3188"/>
    <w:rsid w:val="003B489E"/>
    <w:rsid w:val="003B56D6"/>
    <w:rsid w:val="003C3F7E"/>
    <w:rsid w:val="003C6038"/>
    <w:rsid w:val="003C76D8"/>
    <w:rsid w:val="003D798E"/>
    <w:rsid w:val="003E7075"/>
    <w:rsid w:val="003E7D3B"/>
    <w:rsid w:val="003F1103"/>
    <w:rsid w:val="003F774B"/>
    <w:rsid w:val="00402BDE"/>
    <w:rsid w:val="00403478"/>
    <w:rsid w:val="00406581"/>
    <w:rsid w:val="004073E6"/>
    <w:rsid w:val="00411B19"/>
    <w:rsid w:val="0041249A"/>
    <w:rsid w:val="00415104"/>
    <w:rsid w:val="00420AA9"/>
    <w:rsid w:val="00423CAB"/>
    <w:rsid w:val="00427D5A"/>
    <w:rsid w:val="00440D99"/>
    <w:rsid w:val="00440F61"/>
    <w:rsid w:val="00450B22"/>
    <w:rsid w:val="00450E1B"/>
    <w:rsid w:val="00451B1C"/>
    <w:rsid w:val="00453026"/>
    <w:rsid w:val="00456C43"/>
    <w:rsid w:val="00456EC2"/>
    <w:rsid w:val="0046083C"/>
    <w:rsid w:val="00461A98"/>
    <w:rsid w:val="0046277B"/>
    <w:rsid w:val="00462E3A"/>
    <w:rsid w:val="0046320D"/>
    <w:rsid w:val="004636E2"/>
    <w:rsid w:val="00470B68"/>
    <w:rsid w:val="0047166A"/>
    <w:rsid w:val="00473C43"/>
    <w:rsid w:val="00480C97"/>
    <w:rsid w:val="00494CE7"/>
    <w:rsid w:val="0049548F"/>
    <w:rsid w:val="004A02E0"/>
    <w:rsid w:val="004A0C31"/>
    <w:rsid w:val="004A11CE"/>
    <w:rsid w:val="004A66C1"/>
    <w:rsid w:val="004B3403"/>
    <w:rsid w:val="004B3CA8"/>
    <w:rsid w:val="004B7A79"/>
    <w:rsid w:val="004C1790"/>
    <w:rsid w:val="004C6D0B"/>
    <w:rsid w:val="004D3D74"/>
    <w:rsid w:val="004E2D6F"/>
    <w:rsid w:val="004E3322"/>
    <w:rsid w:val="004E3C11"/>
    <w:rsid w:val="004E62F3"/>
    <w:rsid w:val="004F2E2A"/>
    <w:rsid w:val="00503E21"/>
    <w:rsid w:val="00505A69"/>
    <w:rsid w:val="0050793F"/>
    <w:rsid w:val="00524728"/>
    <w:rsid w:val="00533811"/>
    <w:rsid w:val="005550C9"/>
    <w:rsid w:val="005709E4"/>
    <w:rsid w:val="00572109"/>
    <w:rsid w:val="0057382E"/>
    <w:rsid w:val="005754F7"/>
    <w:rsid w:val="00576DFC"/>
    <w:rsid w:val="00581745"/>
    <w:rsid w:val="00581852"/>
    <w:rsid w:val="00581CC1"/>
    <w:rsid w:val="00585762"/>
    <w:rsid w:val="0059073A"/>
    <w:rsid w:val="00591EC1"/>
    <w:rsid w:val="0059208F"/>
    <w:rsid w:val="00593A5E"/>
    <w:rsid w:val="005947F5"/>
    <w:rsid w:val="005964DD"/>
    <w:rsid w:val="00596F59"/>
    <w:rsid w:val="005A0027"/>
    <w:rsid w:val="005A6FB0"/>
    <w:rsid w:val="005B0F2C"/>
    <w:rsid w:val="005B39A9"/>
    <w:rsid w:val="005B4FF5"/>
    <w:rsid w:val="005B666B"/>
    <w:rsid w:val="005B6C44"/>
    <w:rsid w:val="005C1862"/>
    <w:rsid w:val="005C736A"/>
    <w:rsid w:val="005D0398"/>
    <w:rsid w:val="005D0809"/>
    <w:rsid w:val="005D1DEF"/>
    <w:rsid w:val="005E0485"/>
    <w:rsid w:val="005E1345"/>
    <w:rsid w:val="005E31A1"/>
    <w:rsid w:val="005E66CC"/>
    <w:rsid w:val="005E6837"/>
    <w:rsid w:val="005E7BF5"/>
    <w:rsid w:val="005F3215"/>
    <w:rsid w:val="005F61EB"/>
    <w:rsid w:val="005F65E1"/>
    <w:rsid w:val="00604B9F"/>
    <w:rsid w:val="00606C75"/>
    <w:rsid w:val="00607761"/>
    <w:rsid w:val="00613F12"/>
    <w:rsid w:val="00617862"/>
    <w:rsid w:val="00623F9A"/>
    <w:rsid w:val="00627472"/>
    <w:rsid w:val="00634C98"/>
    <w:rsid w:val="006438A2"/>
    <w:rsid w:val="0064677F"/>
    <w:rsid w:val="006710A6"/>
    <w:rsid w:val="0067586E"/>
    <w:rsid w:val="00681C38"/>
    <w:rsid w:val="00683A45"/>
    <w:rsid w:val="00686EC5"/>
    <w:rsid w:val="0069485A"/>
    <w:rsid w:val="00694D30"/>
    <w:rsid w:val="00696092"/>
    <w:rsid w:val="00696131"/>
    <w:rsid w:val="00696ABD"/>
    <w:rsid w:val="00696C78"/>
    <w:rsid w:val="006A06EB"/>
    <w:rsid w:val="006A08DC"/>
    <w:rsid w:val="006A0B5A"/>
    <w:rsid w:val="006A1B86"/>
    <w:rsid w:val="006A38E0"/>
    <w:rsid w:val="006A5D1C"/>
    <w:rsid w:val="006A75CC"/>
    <w:rsid w:val="006B1C34"/>
    <w:rsid w:val="006B6F57"/>
    <w:rsid w:val="006C2521"/>
    <w:rsid w:val="006C45EA"/>
    <w:rsid w:val="006C5AAB"/>
    <w:rsid w:val="006D263A"/>
    <w:rsid w:val="006E16F2"/>
    <w:rsid w:val="006E647E"/>
    <w:rsid w:val="006E7C38"/>
    <w:rsid w:val="006E7C8C"/>
    <w:rsid w:val="006F26F0"/>
    <w:rsid w:val="006F7B78"/>
    <w:rsid w:val="00700D61"/>
    <w:rsid w:val="00701FB4"/>
    <w:rsid w:val="007025A0"/>
    <w:rsid w:val="007066DA"/>
    <w:rsid w:val="007103D0"/>
    <w:rsid w:val="00711A2E"/>
    <w:rsid w:val="00715BE9"/>
    <w:rsid w:val="00717719"/>
    <w:rsid w:val="00721192"/>
    <w:rsid w:val="00721BFA"/>
    <w:rsid w:val="007318A6"/>
    <w:rsid w:val="00732E74"/>
    <w:rsid w:val="00733222"/>
    <w:rsid w:val="00742A93"/>
    <w:rsid w:val="00753573"/>
    <w:rsid w:val="00754509"/>
    <w:rsid w:val="00765C62"/>
    <w:rsid w:val="00773827"/>
    <w:rsid w:val="00781D1F"/>
    <w:rsid w:val="0078409D"/>
    <w:rsid w:val="007844E4"/>
    <w:rsid w:val="007848B0"/>
    <w:rsid w:val="00785ED1"/>
    <w:rsid w:val="00786AF0"/>
    <w:rsid w:val="00792742"/>
    <w:rsid w:val="007928E8"/>
    <w:rsid w:val="0079642B"/>
    <w:rsid w:val="0079700C"/>
    <w:rsid w:val="00797E15"/>
    <w:rsid w:val="007A37ED"/>
    <w:rsid w:val="007A6286"/>
    <w:rsid w:val="007A71CB"/>
    <w:rsid w:val="007B4287"/>
    <w:rsid w:val="007B4FDD"/>
    <w:rsid w:val="007B7B2C"/>
    <w:rsid w:val="007C4F88"/>
    <w:rsid w:val="007C69DF"/>
    <w:rsid w:val="007D4844"/>
    <w:rsid w:val="007D599F"/>
    <w:rsid w:val="007E0B79"/>
    <w:rsid w:val="007E6B79"/>
    <w:rsid w:val="007F74B6"/>
    <w:rsid w:val="008105D4"/>
    <w:rsid w:val="00811324"/>
    <w:rsid w:val="0081762C"/>
    <w:rsid w:val="00821594"/>
    <w:rsid w:val="008246EB"/>
    <w:rsid w:val="0083119C"/>
    <w:rsid w:val="00844517"/>
    <w:rsid w:val="00852318"/>
    <w:rsid w:val="0085256D"/>
    <w:rsid w:val="008551BF"/>
    <w:rsid w:val="00856A56"/>
    <w:rsid w:val="00862B68"/>
    <w:rsid w:val="00873E1C"/>
    <w:rsid w:val="0088028B"/>
    <w:rsid w:val="008802D0"/>
    <w:rsid w:val="008803F8"/>
    <w:rsid w:val="00881DAE"/>
    <w:rsid w:val="008841E6"/>
    <w:rsid w:val="00887A6A"/>
    <w:rsid w:val="008931D0"/>
    <w:rsid w:val="00893689"/>
    <w:rsid w:val="00894E9A"/>
    <w:rsid w:val="008A136D"/>
    <w:rsid w:val="008A4690"/>
    <w:rsid w:val="008A7882"/>
    <w:rsid w:val="008B1FD3"/>
    <w:rsid w:val="008B3764"/>
    <w:rsid w:val="008B3AFB"/>
    <w:rsid w:val="008B4FB9"/>
    <w:rsid w:val="008B53D1"/>
    <w:rsid w:val="008C5F02"/>
    <w:rsid w:val="008D0E21"/>
    <w:rsid w:val="008D636D"/>
    <w:rsid w:val="008E0DC1"/>
    <w:rsid w:val="008E2C51"/>
    <w:rsid w:val="008E3254"/>
    <w:rsid w:val="008E3305"/>
    <w:rsid w:val="008E3D8D"/>
    <w:rsid w:val="008F4F9E"/>
    <w:rsid w:val="008F6160"/>
    <w:rsid w:val="008F652F"/>
    <w:rsid w:val="0090007F"/>
    <w:rsid w:val="00911396"/>
    <w:rsid w:val="0091204E"/>
    <w:rsid w:val="00916371"/>
    <w:rsid w:val="00922673"/>
    <w:rsid w:val="00931DB2"/>
    <w:rsid w:val="00934392"/>
    <w:rsid w:val="009348B0"/>
    <w:rsid w:val="00936C59"/>
    <w:rsid w:val="0094079B"/>
    <w:rsid w:val="00951BCD"/>
    <w:rsid w:val="00951F4B"/>
    <w:rsid w:val="009525D1"/>
    <w:rsid w:val="00956F71"/>
    <w:rsid w:val="0095784C"/>
    <w:rsid w:val="009668ED"/>
    <w:rsid w:val="00970D17"/>
    <w:rsid w:val="00972F44"/>
    <w:rsid w:val="0097452F"/>
    <w:rsid w:val="00975605"/>
    <w:rsid w:val="00991457"/>
    <w:rsid w:val="00994F16"/>
    <w:rsid w:val="00996E96"/>
    <w:rsid w:val="009A47A5"/>
    <w:rsid w:val="009A67D7"/>
    <w:rsid w:val="009B0E5D"/>
    <w:rsid w:val="009C5859"/>
    <w:rsid w:val="009D0335"/>
    <w:rsid w:val="009D50E6"/>
    <w:rsid w:val="009D722E"/>
    <w:rsid w:val="009E339F"/>
    <w:rsid w:val="00A00E0B"/>
    <w:rsid w:val="00A019D0"/>
    <w:rsid w:val="00A05643"/>
    <w:rsid w:val="00A1507A"/>
    <w:rsid w:val="00A239BA"/>
    <w:rsid w:val="00A23F45"/>
    <w:rsid w:val="00A30590"/>
    <w:rsid w:val="00A335B3"/>
    <w:rsid w:val="00A34945"/>
    <w:rsid w:val="00A426F5"/>
    <w:rsid w:val="00A46615"/>
    <w:rsid w:val="00A466B4"/>
    <w:rsid w:val="00A46D9D"/>
    <w:rsid w:val="00A54996"/>
    <w:rsid w:val="00A60F9E"/>
    <w:rsid w:val="00A639E4"/>
    <w:rsid w:val="00A63EE7"/>
    <w:rsid w:val="00A64B9A"/>
    <w:rsid w:val="00A6702A"/>
    <w:rsid w:val="00A714C3"/>
    <w:rsid w:val="00A7334F"/>
    <w:rsid w:val="00A74209"/>
    <w:rsid w:val="00A810D8"/>
    <w:rsid w:val="00A818A0"/>
    <w:rsid w:val="00A8580E"/>
    <w:rsid w:val="00A931B0"/>
    <w:rsid w:val="00A939B5"/>
    <w:rsid w:val="00A950D4"/>
    <w:rsid w:val="00A96AF6"/>
    <w:rsid w:val="00A96FB5"/>
    <w:rsid w:val="00AA3B43"/>
    <w:rsid w:val="00AB0A63"/>
    <w:rsid w:val="00AB3CB6"/>
    <w:rsid w:val="00AB5381"/>
    <w:rsid w:val="00AB7613"/>
    <w:rsid w:val="00AC68A4"/>
    <w:rsid w:val="00AC6B9B"/>
    <w:rsid w:val="00AD254A"/>
    <w:rsid w:val="00AD3BF2"/>
    <w:rsid w:val="00AD6625"/>
    <w:rsid w:val="00AE245A"/>
    <w:rsid w:val="00B03A76"/>
    <w:rsid w:val="00B1594E"/>
    <w:rsid w:val="00B1706C"/>
    <w:rsid w:val="00B179DB"/>
    <w:rsid w:val="00B20DCC"/>
    <w:rsid w:val="00B24972"/>
    <w:rsid w:val="00B3107C"/>
    <w:rsid w:val="00B337CF"/>
    <w:rsid w:val="00B426D7"/>
    <w:rsid w:val="00B454BF"/>
    <w:rsid w:val="00B463F4"/>
    <w:rsid w:val="00B70427"/>
    <w:rsid w:val="00B71F0E"/>
    <w:rsid w:val="00B81CED"/>
    <w:rsid w:val="00B81F12"/>
    <w:rsid w:val="00B87085"/>
    <w:rsid w:val="00B92078"/>
    <w:rsid w:val="00BA0721"/>
    <w:rsid w:val="00BA1F0D"/>
    <w:rsid w:val="00BA6357"/>
    <w:rsid w:val="00BA6C81"/>
    <w:rsid w:val="00BA7C53"/>
    <w:rsid w:val="00BB17DE"/>
    <w:rsid w:val="00BB2B1E"/>
    <w:rsid w:val="00BB4645"/>
    <w:rsid w:val="00BC0072"/>
    <w:rsid w:val="00BC1FF4"/>
    <w:rsid w:val="00BC65BF"/>
    <w:rsid w:val="00BD1799"/>
    <w:rsid w:val="00BD2454"/>
    <w:rsid w:val="00BE1340"/>
    <w:rsid w:val="00BE34E4"/>
    <w:rsid w:val="00BF29CD"/>
    <w:rsid w:val="00BF3296"/>
    <w:rsid w:val="00BF688D"/>
    <w:rsid w:val="00C0357E"/>
    <w:rsid w:val="00C057D5"/>
    <w:rsid w:val="00C13805"/>
    <w:rsid w:val="00C1399B"/>
    <w:rsid w:val="00C166D9"/>
    <w:rsid w:val="00C26F76"/>
    <w:rsid w:val="00C3533C"/>
    <w:rsid w:val="00C37C34"/>
    <w:rsid w:val="00C4430A"/>
    <w:rsid w:val="00C47BAF"/>
    <w:rsid w:val="00C50537"/>
    <w:rsid w:val="00C50CEE"/>
    <w:rsid w:val="00C52542"/>
    <w:rsid w:val="00C52DE4"/>
    <w:rsid w:val="00C61663"/>
    <w:rsid w:val="00C72020"/>
    <w:rsid w:val="00C76996"/>
    <w:rsid w:val="00C77E6B"/>
    <w:rsid w:val="00C8730C"/>
    <w:rsid w:val="00C970E1"/>
    <w:rsid w:val="00C972A4"/>
    <w:rsid w:val="00CA2719"/>
    <w:rsid w:val="00CA2ED6"/>
    <w:rsid w:val="00CB048F"/>
    <w:rsid w:val="00CB458D"/>
    <w:rsid w:val="00CB77CE"/>
    <w:rsid w:val="00CB794C"/>
    <w:rsid w:val="00CB7E4A"/>
    <w:rsid w:val="00CD49DC"/>
    <w:rsid w:val="00CD4B47"/>
    <w:rsid w:val="00CD5649"/>
    <w:rsid w:val="00CD66DD"/>
    <w:rsid w:val="00CE7735"/>
    <w:rsid w:val="00D0138D"/>
    <w:rsid w:val="00D04974"/>
    <w:rsid w:val="00D04A80"/>
    <w:rsid w:val="00D11A8A"/>
    <w:rsid w:val="00D20842"/>
    <w:rsid w:val="00D2422E"/>
    <w:rsid w:val="00D25DD7"/>
    <w:rsid w:val="00D26431"/>
    <w:rsid w:val="00D34159"/>
    <w:rsid w:val="00D34A30"/>
    <w:rsid w:val="00D42291"/>
    <w:rsid w:val="00D425CC"/>
    <w:rsid w:val="00D4305D"/>
    <w:rsid w:val="00D43A3B"/>
    <w:rsid w:val="00D443B6"/>
    <w:rsid w:val="00D51D4B"/>
    <w:rsid w:val="00D529A0"/>
    <w:rsid w:val="00D60D7D"/>
    <w:rsid w:val="00D61790"/>
    <w:rsid w:val="00D63BAA"/>
    <w:rsid w:val="00D74440"/>
    <w:rsid w:val="00D76182"/>
    <w:rsid w:val="00D81026"/>
    <w:rsid w:val="00D81BCC"/>
    <w:rsid w:val="00D83187"/>
    <w:rsid w:val="00D85D9B"/>
    <w:rsid w:val="00D85F72"/>
    <w:rsid w:val="00D87469"/>
    <w:rsid w:val="00D93BA2"/>
    <w:rsid w:val="00D9400F"/>
    <w:rsid w:val="00D95D90"/>
    <w:rsid w:val="00DA476A"/>
    <w:rsid w:val="00DA640F"/>
    <w:rsid w:val="00DB69EB"/>
    <w:rsid w:val="00DC1542"/>
    <w:rsid w:val="00DC4B15"/>
    <w:rsid w:val="00DC706E"/>
    <w:rsid w:val="00DC714D"/>
    <w:rsid w:val="00DD1734"/>
    <w:rsid w:val="00DD1F71"/>
    <w:rsid w:val="00DD6609"/>
    <w:rsid w:val="00DD6FB7"/>
    <w:rsid w:val="00DE6E22"/>
    <w:rsid w:val="00DE73E1"/>
    <w:rsid w:val="00DF4C2E"/>
    <w:rsid w:val="00E03BAC"/>
    <w:rsid w:val="00E06183"/>
    <w:rsid w:val="00E0786A"/>
    <w:rsid w:val="00E14C0A"/>
    <w:rsid w:val="00E158DA"/>
    <w:rsid w:val="00E17AAA"/>
    <w:rsid w:val="00E21491"/>
    <w:rsid w:val="00E26408"/>
    <w:rsid w:val="00E31387"/>
    <w:rsid w:val="00E341FC"/>
    <w:rsid w:val="00E350BB"/>
    <w:rsid w:val="00E40C48"/>
    <w:rsid w:val="00E41533"/>
    <w:rsid w:val="00E41CBD"/>
    <w:rsid w:val="00E45512"/>
    <w:rsid w:val="00E51DD4"/>
    <w:rsid w:val="00E52CC2"/>
    <w:rsid w:val="00E56245"/>
    <w:rsid w:val="00E71B5E"/>
    <w:rsid w:val="00E720D5"/>
    <w:rsid w:val="00E75E95"/>
    <w:rsid w:val="00E762A8"/>
    <w:rsid w:val="00E76E7F"/>
    <w:rsid w:val="00E81AA2"/>
    <w:rsid w:val="00E86353"/>
    <w:rsid w:val="00E8770E"/>
    <w:rsid w:val="00E93015"/>
    <w:rsid w:val="00E952F5"/>
    <w:rsid w:val="00E97347"/>
    <w:rsid w:val="00EA49C0"/>
    <w:rsid w:val="00EA5FDB"/>
    <w:rsid w:val="00EB4BBE"/>
    <w:rsid w:val="00EB6105"/>
    <w:rsid w:val="00EC10F2"/>
    <w:rsid w:val="00EC12C8"/>
    <w:rsid w:val="00EC6D4F"/>
    <w:rsid w:val="00ED04D4"/>
    <w:rsid w:val="00ED500D"/>
    <w:rsid w:val="00ED550F"/>
    <w:rsid w:val="00EE0B4A"/>
    <w:rsid w:val="00EE3AB8"/>
    <w:rsid w:val="00EE47AC"/>
    <w:rsid w:val="00EE7454"/>
    <w:rsid w:val="00EE7815"/>
    <w:rsid w:val="00EF0D6A"/>
    <w:rsid w:val="00EF17F8"/>
    <w:rsid w:val="00EF6B07"/>
    <w:rsid w:val="00EF7102"/>
    <w:rsid w:val="00F01124"/>
    <w:rsid w:val="00F02D15"/>
    <w:rsid w:val="00F0355A"/>
    <w:rsid w:val="00F05CD5"/>
    <w:rsid w:val="00F05EEE"/>
    <w:rsid w:val="00F15606"/>
    <w:rsid w:val="00F26A01"/>
    <w:rsid w:val="00F27F1C"/>
    <w:rsid w:val="00F30959"/>
    <w:rsid w:val="00F33C97"/>
    <w:rsid w:val="00F33DA2"/>
    <w:rsid w:val="00F34E5C"/>
    <w:rsid w:val="00F41885"/>
    <w:rsid w:val="00F428FE"/>
    <w:rsid w:val="00F43ABF"/>
    <w:rsid w:val="00F451C1"/>
    <w:rsid w:val="00F50B71"/>
    <w:rsid w:val="00F51865"/>
    <w:rsid w:val="00F52CD1"/>
    <w:rsid w:val="00F55913"/>
    <w:rsid w:val="00F55FB6"/>
    <w:rsid w:val="00F622CC"/>
    <w:rsid w:val="00F6382E"/>
    <w:rsid w:val="00F66F7B"/>
    <w:rsid w:val="00F8518D"/>
    <w:rsid w:val="00F874B0"/>
    <w:rsid w:val="00F8757E"/>
    <w:rsid w:val="00FA16FF"/>
    <w:rsid w:val="00FA1EBF"/>
    <w:rsid w:val="00FA6208"/>
    <w:rsid w:val="00FC2190"/>
    <w:rsid w:val="00FC2DE4"/>
    <w:rsid w:val="00FC504A"/>
    <w:rsid w:val="00FD1D7F"/>
    <w:rsid w:val="00FD298A"/>
    <w:rsid w:val="00FD4CAD"/>
    <w:rsid w:val="00FD5106"/>
    <w:rsid w:val="00FD5D2A"/>
    <w:rsid w:val="00FD5EA6"/>
    <w:rsid w:val="00FD6442"/>
    <w:rsid w:val="00FD712D"/>
    <w:rsid w:val="00FD7315"/>
    <w:rsid w:val="00FE1CC7"/>
    <w:rsid w:val="00FE1F26"/>
    <w:rsid w:val="00FE5632"/>
    <w:rsid w:val="00FE6C85"/>
    <w:rsid w:val="00FE72B6"/>
    <w:rsid w:val="00FF0F5E"/>
    <w:rsid w:val="00FF1792"/>
    <w:rsid w:val="00FF1D46"/>
    <w:rsid w:val="00FF5F9C"/>
    <w:rsid w:val="00FF7552"/>
    <w:rsid w:val="038D3451"/>
    <w:rsid w:val="056D0012"/>
    <w:rsid w:val="07727B54"/>
    <w:rsid w:val="0819416F"/>
    <w:rsid w:val="08DE0AA8"/>
    <w:rsid w:val="0B8A0963"/>
    <w:rsid w:val="0E615221"/>
    <w:rsid w:val="0E947D89"/>
    <w:rsid w:val="13952F69"/>
    <w:rsid w:val="149D41C3"/>
    <w:rsid w:val="160550C9"/>
    <w:rsid w:val="1B351FAC"/>
    <w:rsid w:val="1CB460B8"/>
    <w:rsid w:val="1E2E1843"/>
    <w:rsid w:val="202C658D"/>
    <w:rsid w:val="2275084A"/>
    <w:rsid w:val="23756312"/>
    <w:rsid w:val="24A02B8C"/>
    <w:rsid w:val="25457B8D"/>
    <w:rsid w:val="25581119"/>
    <w:rsid w:val="26663B57"/>
    <w:rsid w:val="2C66719E"/>
    <w:rsid w:val="32D560F7"/>
    <w:rsid w:val="33804B5F"/>
    <w:rsid w:val="36501772"/>
    <w:rsid w:val="37731069"/>
    <w:rsid w:val="37863AAB"/>
    <w:rsid w:val="392D08F7"/>
    <w:rsid w:val="3DA9265A"/>
    <w:rsid w:val="3E176A6E"/>
    <w:rsid w:val="43687141"/>
    <w:rsid w:val="439A1A1C"/>
    <w:rsid w:val="485B2CC1"/>
    <w:rsid w:val="4EE706AE"/>
    <w:rsid w:val="4F5F0752"/>
    <w:rsid w:val="5334275F"/>
    <w:rsid w:val="560540D9"/>
    <w:rsid w:val="5765631E"/>
    <w:rsid w:val="587454DB"/>
    <w:rsid w:val="5A66053A"/>
    <w:rsid w:val="5C63306A"/>
    <w:rsid w:val="5E1E00A2"/>
    <w:rsid w:val="5EF54D09"/>
    <w:rsid w:val="5F423426"/>
    <w:rsid w:val="60103D6D"/>
    <w:rsid w:val="634405AB"/>
    <w:rsid w:val="66394057"/>
    <w:rsid w:val="6B5D46C8"/>
    <w:rsid w:val="6CDB65EB"/>
    <w:rsid w:val="6F060E0B"/>
    <w:rsid w:val="701F78B8"/>
    <w:rsid w:val="705A1507"/>
    <w:rsid w:val="72E402B0"/>
    <w:rsid w:val="748B6B05"/>
    <w:rsid w:val="754E6B1F"/>
    <w:rsid w:val="78BD4425"/>
    <w:rsid w:val="7B535157"/>
    <w:rsid w:val="7C151853"/>
    <w:rsid w:val="7C6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autoSpaceDE w:val="0"/>
      <w:autoSpaceDN w:val="0"/>
      <w:adjustRightInd w:val="0"/>
      <w:jc w:val="left"/>
      <w:textAlignment w:val="baseline"/>
    </w:pPr>
    <w:rPr>
      <w:kern w:val="0"/>
      <w:sz w:val="20"/>
      <w:szCs w:val="2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8"/>
    <w:qFormat/>
    <w:uiPriority w:val="0"/>
    <w:pPr>
      <w:autoSpaceDE/>
      <w:autoSpaceDN/>
      <w:adjustRightInd/>
      <w:textAlignment w:val="auto"/>
    </w:pPr>
    <w:rPr>
      <w:b/>
      <w:bCs/>
      <w:kern w:val="2"/>
      <w:sz w:val="21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3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4">
    <w:name w:val="批注文字 字符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5">
    <w:name w:val="页脚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HTML 预设格式 字符"/>
    <w:link w:val="6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8">
    <w:name w:val="批注主题 字符"/>
    <w:link w:val="8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9">
    <w:name w:val="Char Char Char Char Char Char Char Char Char Char"/>
    <w:basedOn w:val="1"/>
    <w:qFormat/>
    <w:uiPriority w:val="0"/>
    <w:rPr>
      <w:rFonts w:ascii="Tahoma" w:hAnsi="Tahoma" w:cs="Tahoma"/>
      <w:sz w:val="24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kern w:val="0"/>
      <w:sz w:val="20"/>
      <w:szCs w:val="21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1500</Words>
  <Characters>1557</Characters>
  <Lines>22</Lines>
  <Paragraphs>6</Paragraphs>
  <TotalTime>210</TotalTime>
  <ScaleCrop>false</ScaleCrop>
  <LinksUpToDate>false</LinksUpToDate>
  <CharactersWithSpaces>1685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2025-09-15T10:13:00Z</dcterms:created>
  <dc:creator>袁西坤</dc:creator>
  <cp:lastModifiedBy>郁林秀水</cp:lastModifiedBy>
  <cp:lastPrinted>2025-05-15T11:01:00Z</cp:lastPrinted>
  <dcterms:modified xsi:type="dcterms:W3CDTF">2025-09-16T08:04:26Z</dcterms:modified>
  <dc:title>证券代码：000488、200488                    证券简称：晨鸣纸业、晨鸣B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4268D938DD6248088E2C08EF164E01B7_13</vt:lpwstr>
  </property>
  <property fmtid="{D5CDD505-2E9C-101B-9397-08002B2CF9AE}" pid="4" name="KSOTemplateDocerSaveRecord">
    <vt:lpwstr>eyJoZGlkIjoiNjBkMzg2YmFhODYzNjcxN2I5ZDM2ZjVlNmJkMmE0OTciLCJ1c2VySWQiOiI1NzY5NzU4OTkifQ==</vt:lpwstr>
  </property>
</Properties>
</file>